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823A" w14:textId="77777777" w:rsidR="00C62F0F" w:rsidRPr="00370C25" w:rsidRDefault="00C62F0F" w:rsidP="00352F04">
      <w:pPr>
        <w:pStyle w:val="Intestazione"/>
        <w:shd w:val="clear" w:color="auto" w:fill="D9D9D9"/>
        <w:tabs>
          <w:tab w:val="right" w:pos="10263"/>
        </w:tabs>
        <w:spacing w:after="180"/>
        <w:ind w:right="-17"/>
      </w:pPr>
      <w:r w:rsidRPr="00370C25">
        <w:rPr>
          <w:b/>
          <w:kern w:val="2"/>
        </w:rPr>
        <w:t>RESEARCH ARTICLE</w:t>
      </w:r>
    </w:p>
    <w:p w14:paraId="3C8EC1B0" w14:textId="645370CF" w:rsidR="00C62F0F" w:rsidRPr="00370C25" w:rsidRDefault="00C62F0F" w:rsidP="00352F04">
      <w:pPr>
        <w:pStyle w:val="01-MainHeading"/>
        <w:rPr>
          <w:color w:val="808080"/>
          <w:lang w:val="it-IT"/>
        </w:rPr>
      </w:pPr>
      <w:r w:rsidRPr="00370C25">
        <w:rPr>
          <w:bCs/>
          <w:szCs w:val="28"/>
        </w:rPr>
        <w:t xml:space="preserve">Title: </w:t>
      </w:r>
      <w:sdt>
        <w:sdtPr>
          <w:rPr>
            <w:bCs/>
            <w:szCs w:val="28"/>
          </w:rPr>
          <w:id w:val="753867017"/>
          <w:placeholder>
            <w:docPart w:val="4656967E6B8546F19A067AA5DD798E72"/>
          </w:placeholder>
        </w:sdtPr>
        <w:sdtContent>
          <w:r w:rsidR="00971142" w:rsidRPr="00370C25">
            <w:rPr>
              <w:bCs/>
              <w:szCs w:val="28"/>
            </w:rPr>
            <w:t xml:space="preserve">Differential Serum NGF and BDNF Levels in People Living with HIV According to Antiretroviral Therapy, Historical and Current Viro-immunological Condition. </w:t>
          </w:r>
          <w:r w:rsidR="00971142" w:rsidRPr="00370C25">
            <w:rPr>
              <w:bCs/>
              <w:szCs w:val="28"/>
              <w:lang w:val="it-IT"/>
            </w:rPr>
            <w:t>A Pilot Study</w:t>
          </w:r>
        </w:sdtContent>
      </w:sdt>
    </w:p>
    <w:sdt>
      <w:sdtPr>
        <w:rPr>
          <w:color w:val="808080"/>
        </w:rPr>
        <w:id w:val="-153918561"/>
        <w:placeholder>
          <w:docPart w:val="AB23BFB36EF841F38515A6CC7671FEA5"/>
        </w:placeholder>
      </w:sdtPr>
      <w:sdtEndPr>
        <w:rPr>
          <w:kern w:val="2"/>
          <w:sz w:val="20"/>
          <w:szCs w:val="16"/>
          <w:vertAlign w:val="superscript"/>
        </w:rPr>
      </w:sdtEndPr>
      <w:sdtContent>
        <w:p w14:paraId="3A506384" w14:textId="4C789C18" w:rsidR="00C62F0F" w:rsidRPr="00370C25" w:rsidRDefault="00971142" w:rsidP="006C2178">
          <w:pPr>
            <w:pStyle w:val="02-Author"/>
            <w:spacing w:before="360" w:after="240" w:line="240" w:lineRule="auto"/>
            <w:rPr>
              <w:color w:val="808080"/>
              <w:lang w:val="it-IT"/>
            </w:rPr>
          </w:pPr>
          <w:r w:rsidRPr="00370C25">
            <w:rPr>
              <w:color w:val="808080"/>
              <w:lang w:val="it-IT"/>
            </w:rPr>
            <w:t>Luca Maddaloni</w:t>
          </w:r>
          <w:r w:rsidRPr="00370C25">
            <w:rPr>
              <w:color w:val="808080"/>
              <w:vertAlign w:val="superscript"/>
              <w:lang w:val="it-IT"/>
            </w:rPr>
            <w:t>1,2</w:t>
          </w:r>
          <w:r w:rsidRPr="00370C25">
            <w:rPr>
              <w:color w:val="808080"/>
              <w:lang w:val="it-IT"/>
            </w:rPr>
            <w:t>, Pamela Rosso</w:t>
          </w:r>
          <w:r w:rsidRPr="00370C25">
            <w:rPr>
              <w:color w:val="808080"/>
              <w:vertAlign w:val="superscript"/>
              <w:lang w:val="it-IT"/>
            </w:rPr>
            <w:t>3</w:t>
          </w:r>
          <w:r w:rsidR="006C2178" w:rsidRPr="00370C25">
            <w:rPr>
              <w:color w:val="808080"/>
              <w:vertAlign w:val="superscript"/>
              <w:lang w:val="it-IT"/>
            </w:rPr>
            <w:t>,4</w:t>
          </w:r>
          <w:r w:rsidRPr="00370C25">
            <w:rPr>
              <w:color w:val="808080"/>
              <w:lang w:val="it-IT"/>
            </w:rPr>
            <w:t>, Elena Fico</w:t>
          </w:r>
          <w:r w:rsidRPr="00370C25">
            <w:rPr>
              <w:color w:val="808080"/>
              <w:vertAlign w:val="superscript"/>
              <w:lang w:val="it-IT"/>
            </w:rPr>
            <w:t>3</w:t>
          </w:r>
          <w:r w:rsidRPr="00370C25">
            <w:rPr>
              <w:color w:val="808080"/>
              <w:lang w:val="it-IT"/>
            </w:rPr>
            <w:t>, Letizia Santinelli</w:t>
          </w:r>
          <w:r w:rsidRPr="00370C25">
            <w:rPr>
              <w:color w:val="808080"/>
              <w:vertAlign w:val="superscript"/>
              <w:lang w:val="it-IT"/>
            </w:rPr>
            <w:t>2</w:t>
          </w:r>
          <w:r w:rsidRPr="00370C25">
            <w:rPr>
              <w:color w:val="808080"/>
              <w:lang w:val="it-IT"/>
            </w:rPr>
            <w:t>, Carmen Falvino</w:t>
          </w:r>
          <w:r w:rsidRPr="00370C25">
            <w:rPr>
              <w:color w:val="808080"/>
              <w:vertAlign w:val="superscript"/>
              <w:lang w:val="it-IT"/>
            </w:rPr>
            <w:t>2</w:t>
          </w:r>
          <w:r w:rsidRPr="00370C25">
            <w:rPr>
              <w:color w:val="808080"/>
              <w:lang w:val="it-IT"/>
            </w:rPr>
            <w:t>, Marco Ridolfi</w:t>
          </w:r>
          <w:r w:rsidR="00A67300" w:rsidRPr="00370C25">
            <w:rPr>
              <w:color w:val="808080"/>
              <w:vertAlign w:val="superscript"/>
              <w:lang w:val="it-IT"/>
            </w:rPr>
            <w:t>2,5</w:t>
          </w:r>
          <w:r w:rsidRPr="00370C25">
            <w:rPr>
              <w:color w:val="808080"/>
              <w:lang w:val="it-IT"/>
            </w:rPr>
            <w:t>, Giampiero Ferraguti</w:t>
          </w:r>
          <w:r w:rsidR="006C2178" w:rsidRPr="00370C25">
            <w:rPr>
              <w:color w:val="808080"/>
              <w:vertAlign w:val="superscript"/>
              <w:lang w:val="it-IT"/>
            </w:rPr>
            <w:t>5</w:t>
          </w:r>
          <w:r w:rsidR="00A67300" w:rsidRPr="00370C25">
            <w:rPr>
              <w:color w:val="808080"/>
              <w:vertAlign w:val="superscript"/>
              <w:lang w:val="it-IT"/>
            </w:rPr>
            <w:t>,6</w:t>
          </w:r>
          <w:r w:rsidRPr="00370C25">
            <w:rPr>
              <w:color w:val="808080"/>
              <w:lang w:val="it-IT"/>
            </w:rPr>
            <w:t>, Giancarlo Ceccarelli</w:t>
          </w:r>
          <w:r w:rsidRPr="00370C25">
            <w:rPr>
              <w:color w:val="808080"/>
              <w:vertAlign w:val="superscript"/>
              <w:lang w:val="it-IT"/>
            </w:rPr>
            <w:t>2</w:t>
          </w:r>
          <w:r w:rsidR="00A67300" w:rsidRPr="00370C25">
            <w:rPr>
              <w:color w:val="808080"/>
              <w:vertAlign w:val="superscript"/>
              <w:lang w:val="it-IT"/>
            </w:rPr>
            <w:t>,5</w:t>
          </w:r>
          <w:r w:rsidRPr="00370C25">
            <w:rPr>
              <w:color w:val="808080"/>
              <w:lang w:val="it-IT"/>
            </w:rPr>
            <w:t>, Claudio Maria Mastroianni</w:t>
          </w:r>
          <w:r w:rsidRPr="00370C25">
            <w:rPr>
              <w:color w:val="808080"/>
              <w:vertAlign w:val="superscript"/>
              <w:lang w:val="it-IT"/>
            </w:rPr>
            <w:t>2</w:t>
          </w:r>
          <w:r w:rsidR="00A67300" w:rsidRPr="00370C25">
            <w:rPr>
              <w:color w:val="808080"/>
              <w:vertAlign w:val="superscript"/>
              <w:lang w:val="it-IT"/>
            </w:rPr>
            <w:t>,5</w:t>
          </w:r>
          <w:r w:rsidRPr="00370C25">
            <w:rPr>
              <w:color w:val="808080"/>
              <w:lang w:val="it-IT"/>
            </w:rPr>
            <w:t>, Guido Antonelli</w:t>
          </w:r>
          <w:r w:rsidRPr="00370C25">
            <w:rPr>
              <w:color w:val="808080"/>
              <w:vertAlign w:val="superscript"/>
              <w:lang w:val="it-IT"/>
            </w:rPr>
            <w:t>1</w:t>
          </w:r>
          <w:r w:rsidR="00A67300" w:rsidRPr="00370C25">
            <w:rPr>
              <w:color w:val="808080"/>
              <w:vertAlign w:val="superscript"/>
              <w:lang w:val="it-IT"/>
            </w:rPr>
            <w:t>,5</w:t>
          </w:r>
          <w:r w:rsidRPr="00370C25">
            <w:rPr>
              <w:color w:val="808080"/>
              <w:lang w:val="it-IT"/>
            </w:rPr>
            <w:t>, Carolina Scagnolari</w:t>
          </w:r>
          <w:r w:rsidRPr="00370C25">
            <w:rPr>
              <w:color w:val="808080"/>
              <w:vertAlign w:val="superscript"/>
              <w:lang w:val="it-IT"/>
            </w:rPr>
            <w:t>1</w:t>
          </w:r>
          <w:r w:rsidRPr="00370C25">
            <w:rPr>
              <w:color w:val="808080"/>
              <w:lang w:val="it-IT"/>
            </w:rPr>
            <w:t>, Gabriella d’Ettorre</w:t>
          </w:r>
          <w:r w:rsidRPr="00370C25">
            <w:rPr>
              <w:color w:val="808080"/>
              <w:vertAlign w:val="superscript"/>
              <w:lang w:val="it-IT"/>
            </w:rPr>
            <w:t>2</w:t>
          </w:r>
          <w:r w:rsidR="00A67300" w:rsidRPr="00370C25">
            <w:rPr>
              <w:color w:val="808080"/>
              <w:vertAlign w:val="superscript"/>
              <w:lang w:val="it-IT"/>
            </w:rPr>
            <w:t>,5</w:t>
          </w:r>
          <w:r w:rsidRPr="00370C25">
            <w:rPr>
              <w:color w:val="808080"/>
              <w:vertAlign w:val="superscript"/>
              <w:lang w:val="it-IT"/>
            </w:rPr>
            <w:t>†</w:t>
          </w:r>
          <w:r w:rsidRPr="00370C25">
            <w:rPr>
              <w:color w:val="808080"/>
              <w:lang w:val="it-IT"/>
            </w:rPr>
            <w:t xml:space="preserve"> and *Marco Fiore</w:t>
          </w:r>
          <w:r w:rsidRPr="00370C25">
            <w:rPr>
              <w:color w:val="808080"/>
              <w:vertAlign w:val="superscript"/>
              <w:lang w:val="it-IT"/>
            </w:rPr>
            <w:t>3†</w:t>
          </w:r>
          <w:r w:rsidRPr="00370C25">
            <w:rPr>
              <w:color w:val="808080"/>
              <w:lang w:val="it-IT"/>
            </w:rPr>
            <w:t>.</w:t>
          </w:r>
        </w:p>
        <w:p w14:paraId="2A1E81A0" w14:textId="77777777" w:rsidR="00971142" w:rsidRPr="00370C25" w:rsidRDefault="00971142" w:rsidP="006C2178">
          <w:pPr>
            <w:pStyle w:val="02-Author"/>
            <w:spacing w:before="120" w:after="0" w:line="240" w:lineRule="auto"/>
            <w:rPr>
              <w:color w:val="808080"/>
              <w:sz w:val="22"/>
              <w:szCs w:val="18"/>
            </w:rPr>
          </w:pPr>
          <w:r w:rsidRPr="00370C25">
            <w:rPr>
              <w:color w:val="808080"/>
              <w:sz w:val="22"/>
              <w:szCs w:val="18"/>
              <w:vertAlign w:val="superscript"/>
            </w:rPr>
            <w:t>1</w:t>
          </w:r>
          <w:r w:rsidRPr="00370C25">
            <w:rPr>
              <w:color w:val="808080"/>
              <w:sz w:val="22"/>
              <w:szCs w:val="18"/>
            </w:rPr>
            <w:t xml:space="preserve">Department of Molecular Medicine, Sapienza University of Rome, Italy </w:t>
          </w:r>
        </w:p>
        <w:p w14:paraId="08C4683F" w14:textId="0A3B9061" w:rsidR="00971142" w:rsidRPr="00370C25" w:rsidRDefault="00971142" w:rsidP="00971142">
          <w:pPr>
            <w:pStyle w:val="02-Author"/>
            <w:spacing w:after="0" w:line="240" w:lineRule="auto"/>
            <w:rPr>
              <w:color w:val="808080"/>
              <w:sz w:val="22"/>
              <w:szCs w:val="18"/>
            </w:rPr>
          </w:pPr>
          <w:r w:rsidRPr="00370C25">
            <w:rPr>
              <w:color w:val="808080"/>
              <w:sz w:val="22"/>
              <w:szCs w:val="18"/>
              <w:vertAlign w:val="superscript"/>
            </w:rPr>
            <w:t>2</w:t>
          </w:r>
          <w:r w:rsidRPr="00370C25">
            <w:rPr>
              <w:color w:val="808080"/>
              <w:sz w:val="22"/>
              <w:szCs w:val="18"/>
            </w:rPr>
            <w:t>Department of Public Health and Infectious Diseases, Sapienza University of Rome, Italy</w:t>
          </w:r>
        </w:p>
        <w:p w14:paraId="71DFDD73" w14:textId="3C28E247" w:rsidR="00971142" w:rsidRPr="00370C25" w:rsidRDefault="00971142" w:rsidP="00971142">
          <w:pPr>
            <w:pStyle w:val="02-Author"/>
            <w:spacing w:after="0" w:line="240" w:lineRule="auto"/>
            <w:rPr>
              <w:color w:val="808080"/>
              <w:sz w:val="22"/>
              <w:szCs w:val="18"/>
            </w:rPr>
          </w:pPr>
          <w:r w:rsidRPr="00370C25">
            <w:rPr>
              <w:color w:val="808080"/>
              <w:sz w:val="22"/>
              <w:szCs w:val="18"/>
              <w:vertAlign w:val="superscript"/>
            </w:rPr>
            <w:t>3</w:t>
          </w:r>
          <w:r w:rsidR="008E0831" w:rsidRPr="00370C25">
            <w:rPr>
              <w:color w:val="808080"/>
              <w:sz w:val="22"/>
              <w:szCs w:val="18"/>
            </w:rPr>
            <w:t>Institute of Biochemistry and Cell Biology (IBBC), National Research Council (CNR), Rome, Italy  </w:t>
          </w:r>
        </w:p>
        <w:p w14:paraId="3F8F448D" w14:textId="1A4D901C" w:rsidR="006C2178" w:rsidRPr="00370C25" w:rsidRDefault="00971142" w:rsidP="00971142">
          <w:pPr>
            <w:pStyle w:val="02-Author"/>
            <w:spacing w:after="0" w:line="240" w:lineRule="auto"/>
            <w:rPr>
              <w:color w:val="808080"/>
              <w:sz w:val="22"/>
              <w:szCs w:val="18"/>
            </w:rPr>
          </w:pPr>
          <w:r w:rsidRPr="00370C25">
            <w:rPr>
              <w:color w:val="808080"/>
              <w:sz w:val="22"/>
              <w:szCs w:val="18"/>
              <w:vertAlign w:val="superscript"/>
            </w:rPr>
            <w:t>4</w:t>
          </w:r>
          <w:r w:rsidR="008E0831" w:rsidRPr="00370C25">
            <w:rPr>
              <w:color w:val="808080"/>
              <w:sz w:val="22"/>
              <w:szCs w:val="18"/>
            </w:rPr>
            <w:t>Department of Sense Organs, Sapienza University of Rome, Italy</w:t>
          </w:r>
        </w:p>
        <w:p w14:paraId="4C4A7E70" w14:textId="64D498C2" w:rsidR="00A67300" w:rsidRPr="00370C25" w:rsidRDefault="006C2178" w:rsidP="00971142">
          <w:pPr>
            <w:pStyle w:val="02-Author"/>
            <w:spacing w:after="0" w:line="240" w:lineRule="auto"/>
            <w:rPr>
              <w:color w:val="808080"/>
              <w:sz w:val="22"/>
              <w:szCs w:val="18"/>
              <w:lang w:val="it-IT"/>
            </w:rPr>
          </w:pPr>
          <w:r w:rsidRPr="00370C25">
            <w:rPr>
              <w:color w:val="808080"/>
              <w:sz w:val="22"/>
              <w:szCs w:val="18"/>
              <w:vertAlign w:val="superscript"/>
              <w:lang w:val="it-IT"/>
            </w:rPr>
            <w:t>5</w:t>
          </w:r>
          <w:r w:rsidR="00A67300" w:rsidRPr="00370C25">
            <w:rPr>
              <w:color w:val="808080"/>
              <w:sz w:val="22"/>
              <w:szCs w:val="18"/>
              <w:lang w:val="it-IT"/>
            </w:rPr>
            <w:t>Sapienza University Hospital "Policlinico Umberto I", Rome, Italy</w:t>
          </w:r>
        </w:p>
        <w:p w14:paraId="66B099F3" w14:textId="60E15CB0" w:rsidR="00971142" w:rsidRPr="00370C25" w:rsidRDefault="00A67300" w:rsidP="00971142">
          <w:pPr>
            <w:pStyle w:val="02-Author"/>
            <w:spacing w:after="0" w:line="240" w:lineRule="auto"/>
            <w:rPr>
              <w:color w:val="808080"/>
              <w:sz w:val="22"/>
              <w:szCs w:val="18"/>
            </w:rPr>
          </w:pPr>
          <w:r w:rsidRPr="00370C25">
            <w:rPr>
              <w:color w:val="808080"/>
              <w:sz w:val="22"/>
              <w:szCs w:val="18"/>
              <w:vertAlign w:val="superscript"/>
            </w:rPr>
            <w:t>6</w:t>
          </w:r>
          <w:r w:rsidR="00971142" w:rsidRPr="00370C25">
            <w:rPr>
              <w:color w:val="808080"/>
              <w:sz w:val="22"/>
              <w:szCs w:val="18"/>
            </w:rPr>
            <w:t>Department of Experimental Medicine, Sapienza University of Rome, Italy</w:t>
          </w:r>
        </w:p>
      </w:sdtContent>
    </w:sdt>
    <w:tbl>
      <w:tblPr>
        <w:tblW w:w="0" w:type="auto"/>
        <w:tblLayout w:type="fixed"/>
        <w:tblLook w:val="0000" w:firstRow="0" w:lastRow="0" w:firstColumn="0" w:lastColumn="0" w:noHBand="0" w:noVBand="0"/>
      </w:tblPr>
      <w:tblGrid>
        <w:gridCol w:w="2163"/>
        <w:gridCol w:w="8308"/>
      </w:tblGrid>
      <w:tr w:rsidR="00C62F0F" w:rsidRPr="00370C25" w14:paraId="30F3E34E" w14:textId="77777777" w:rsidTr="00B002C2">
        <w:trPr>
          <w:trHeight w:val="1032"/>
        </w:trPr>
        <w:tc>
          <w:tcPr>
            <w:tcW w:w="2163" w:type="dxa"/>
            <w:tcBorders>
              <w:bottom w:val="single" w:sz="4" w:space="0" w:color="000000"/>
            </w:tcBorders>
          </w:tcPr>
          <w:p w14:paraId="3906A36F" w14:textId="77777777" w:rsidR="00C62F0F" w:rsidRPr="00370C25" w:rsidRDefault="00C62F0F" w:rsidP="00352F04">
            <w:pPr>
              <w:pStyle w:val="12FigureSchemecaption"/>
              <w:snapToGrid w:val="0"/>
              <w:spacing w:line="240" w:lineRule="auto"/>
              <w:ind w:right="22"/>
              <w:jc w:val="center"/>
              <w:rPr>
                <w:rFonts w:eastAsia="Batang"/>
                <w:iCs/>
              </w:rPr>
            </w:pPr>
          </w:p>
        </w:tc>
        <w:tc>
          <w:tcPr>
            <w:tcW w:w="8308" w:type="dxa"/>
            <w:vMerge w:val="restart"/>
          </w:tcPr>
          <w:sdt>
            <w:sdtPr>
              <w:rPr>
                <w:b/>
                <w:sz w:val="18"/>
                <w:szCs w:val="18"/>
              </w:rPr>
              <w:id w:val="401879657"/>
              <w:placeholder>
                <w:docPart w:val="F316156A1D4C4DA8BCA9CD1D3C2965A1"/>
              </w:placeholder>
            </w:sdtPr>
            <w:sdtEndPr>
              <w:rPr>
                <w:b w:val="0"/>
                <w:color w:val="333333"/>
                <w:lang w:eastAsia="en-US"/>
              </w:rPr>
            </w:sdtEndPr>
            <w:sdtContent>
              <w:p w14:paraId="2A734ED4" w14:textId="77777777" w:rsidR="005C19DE" w:rsidRPr="00370C25" w:rsidRDefault="005C19DE" w:rsidP="00534558">
                <w:pPr>
                  <w:pStyle w:val="NormaleWeb"/>
                  <w:shd w:val="clear" w:color="auto" w:fill="FFFFFF"/>
                  <w:spacing w:after="60" w:line="276" w:lineRule="auto"/>
                  <w:ind w:left="130" w:right="567"/>
                  <w:jc w:val="both"/>
                  <w:rPr>
                    <w:b/>
                    <w:sz w:val="20"/>
                    <w:szCs w:val="20"/>
                  </w:rPr>
                </w:pPr>
                <w:r w:rsidRPr="00370C25">
                  <w:rPr>
                    <w:b/>
                    <w:sz w:val="20"/>
                    <w:szCs w:val="20"/>
                  </w:rPr>
                  <w:t>Abstract</w:t>
                </w:r>
              </w:p>
              <w:p w14:paraId="24A3ED70" w14:textId="684B0EDF" w:rsidR="005C19DE" w:rsidRPr="00370C25" w:rsidRDefault="00552CBA" w:rsidP="00534558">
                <w:pPr>
                  <w:pStyle w:val="NormaleWeb"/>
                  <w:shd w:val="clear" w:color="auto" w:fill="FFFFFF"/>
                  <w:spacing w:before="120" w:after="120" w:line="276" w:lineRule="auto"/>
                  <w:ind w:left="130" w:right="567"/>
                  <w:jc w:val="both"/>
                  <w:rPr>
                    <w:b/>
                    <w:sz w:val="18"/>
                    <w:szCs w:val="18"/>
                  </w:rPr>
                </w:pPr>
                <w:r w:rsidRPr="00370C25">
                  <w:rPr>
                    <w:b/>
                    <w:sz w:val="18"/>
                    <w:szCs w:val="18"/>
                  </w:rPr>
                  <w:t>Introduction</w:t>
                </w:r>
                <w:r w:rsidR="005C19DE" w:rsidRPr="00370C25">
                  <w:rPr>
                    <w:b/>
                    <w:sz w:val="18"/>
                    <w:szCs w:val="18"/>
                  </w:rPr>
                  <w:t xml:space="preserve">: </w:t>
                </w:r>
                <w:r w:rsidR="00C752B8" w:rsidRPr="00370C25">
                  <w:rPr>
                    <w:b/>
                    <w:sz w:val="18"/>
                    <w:szCs w:val="18"/>
                  </w:rPr>
                  <w:t xml:space="preserve">Although HIV infection can now be kept under control in almost all people living with HIV (PLWH), these individuals are prone to developing several non-AIDS complications due to chronic immune impairments, such as HIV-associated neurocognitive disorders (HAND). Unfortunately, no marker has been </w:t>
                </w:r>
                <w:r w:rsidRPr="00370C25">
                  <w:rPr>
                    <w:b/>
                    <w:sz w:val="18"/>
                    <w:szCs w:val="18"/>
                  </w:rPr>
                  <w:t>identified</w:t>
                </w:r>
                <w:r w:rsidR="00C752B8" w:rsidRPr="00370C25">
                  <w:rPr>
                    <w:b/>
                    <w:sz w:val="18"/>
                    <w:szCs w:val="18"/>
                  </w:rPr>
                  <w:t xml:space="preserve"> </w:t>
                </w:r>
                <w:r w:rsidR="006317A4" w:rsidRPr="00370C25">
                  <w:rPr>
                    <w:b/>
                    <w:sz w:val="18"/>
                    <w:szCs w:val="18"/>
                  </w:rPr>
                  <w:t xml:space="preserve">to </w:t>
                </w:r>
                <w:r w:rsidR="00C752B8" w:rsidRPr="00370C25">
                  <w:rPr>
                    <w:b/>
                    <w:sz w:val="18"/>
                    <w:szCs w:val="18"/>
                  </w:rPr>
                  <w:t>predict these conditions, but there is growing interest in neurotrophins, such as nerve growth factor (NGF) and brain-derived neurotrophic factor (BDNF).</w:t>
                </w:r>
                <w:r w:rsidR="00912DB3" w:rsidRPr="00370C25">
                  <w:rPr>
                    <w:b/>
                    <w:sz w:val="18"/>
                    <w:szCs w:val="18"/>
                  </w:rPr>
                  <w:t xml:space="preserve"> </w:t>
                </w:r>
              </w:p>
              <w:p w14:paraId="3FD8B409" w14:textId="46FC7957" w:rsidR="005C19DE" w:rsidRPr="00370C25" w:rsidRDefault="005C19DE" w:rsidP="00534558">
                <w:pPr>
                  <w:pStyle w:val="NormaleWeb"/>
                  <w:shd w:val="clear" w:color="auto" w:fill="FFFFFF"/>
                  <w:spacing w:before="0" w:after="120" w:line="276" w:lineRule="auto"/>
                  <w:ind w:left="130" w:right="567"/>
                  <w:jc w:val="both"/>
                  <w:rPr>
                    <w:b/>
                    <w:sz w:val="18"/>
                    <w:szCs w:val="18"/>
                  </w:rPr>
                </w:pPr>
                <w:r w:rsidRPr="00370C25">
                  <w:rPr>
                    <w:b/>
                    <w:sz w:val="18"/>
                    <w:szCs w:val="18"/>
                  </w:rPr>
                  <w:t xml:space="preserve">Methods: In this pilot study we evaluated the serum levels of these neurotrophins in 13 antiretroviral therapy (ART)-naïve and 12 ART-treated PLWH, </w:t>
                </w:r>
                <w:r w:rsidR="00912DB3" w:rsidRPr="00370C25">
                  <w:rPr>
                    <w:b/>
                    <w:sz w:val="18"/>
                    <w:szCs w:val="18"/>
                  </w:rPr>
                  <w:t>and in</w:t>
                </w:r>
                <w:r w:rsidRPr="00370C25">
                  <w:rPr>
                    <w:b/>
                    <w:sz w:val="18"/>
                    <w:szCs w:val="18"/>
                  </w:rPr>
                  <w:t xml:space="preserve"> two </w:t>
                </w:r>
                <w:r w:rsidR="00912DB3" w:rsidRPr="00370C25">
                  <w:rPr>
                    <w:b/>
                    <w:sz w:val="18"/>
                    <w:szCs w:val="18"/>
                  </w:rPr>
                  <w:t xml:space="preserve">matched groups of 13 and 12 </w:t>
                </w:r>
                <w:r w:rsidRPr="00370C25">
                  <w:rPr>
                    <w:b/>
                    <w:sz w:val="18"/>
                    <w:szCs w:val="18"/>
                  </w:rPr>
                  <w:t>HIV-negative volunteer</w:t>
                </w:r>
                <w:r w:rsidR="00912DB3" w:rsidRPr="00370C25">
                  <w:rPr>
                    <w:b/>
                    <w:sz w:val="18"/>
                    <w:szCs w:val="18"/>
                  </w:rPr>
                  <w:t>s,</w:t>
                </w:r>
                <w:r w:rsidRPr="00370C25">
                  <w:rPr>
                    <w:b/>
                    <w:sz w:val="18"/>
                    <w:szCs w:val="18"/>
                  </w:rPr>
                  <w:t xml:space="preserve"> respectively. </w:t>
                </w:r>
              </w:p>
              <w:p w14:paraId="777F88A5" w14:textId="228663B2" w:rsidR="005C19DE" w:rsidRPr="00370C25" w:rsidRDefault="005C19DE" w:rsidP="00757FA3">
                <w:pPr>
                  <w:pStyle w:val="NormaleWeb"/>
                  <w:shd w:val="clear" w:color="auto" w:fill="FFFFFF"/>
                  <w:spacing w:before="0" w:after="120" w:line="276" w:lineRule="auto"/>
                  <w:ind w:left="130" w:right="567"/>
                  <w:jc w:val="both"/>
                  <w:rPr>
                    <w:b/>
                    <w:sz w:val="18"/>
                    <w:szCs w:val="18"/>
                  </w:rPr>
                </w:pPr>
                <w:r w:rsidRPr="00370C25">
                  <w:rPr>
                    <w:b/>
                    <w:sz w:val="18"/>
                    <w:szCs w:val="18"/>
                  </w:rPr>
                  <w:t>Results: ART-naïve PLWH showed higher</w:t>
                </w:r>
                <w:r w:rsidR="00757FA3" w:rsidRPr="00370C25">
                  <w:rPr>
                    <w:b/>
                    <w:sz w:val="18"/>
                    <w:szCs w:val="18"/>
                  </w:rPr>
                  <w:t xml:space="preserve"> </w:t>
                </w:r>
                <w:r w:rsidR="00912DB3" w:rsidRPr="00370C25">
                  <w:rPr>
                    <w:b/>
                    <w:sz w:val="18"/>
                    <w:szCs w:val="18"/>
                  </w:rPr>
                  <w:t xml:space="preserve">levels of </w:t>
                </w:r>
                <w:r w:rsidRPr="00370C25">
                  <w:rPr>
                    <w:b/>
                    <w:sz w:val="18"/>
                    <w:szCs w:val="18"/>
                  </w:rPr>
                  <w:t>NGF (p = 0.0036) and lower</w:t>
                </w:r>
                <w:r w:rsidR="00912DB3" w:rsidRPr="00370C25">
                  <w:rPr>
                    <w:b/>
                    <w:sz w:val="18"/>
                    <w:szCs w:val="18"/>
                  </w:rPr>
                  <w:t xml:space="preserve"> levels of</w:t>
                </w:r>
                <w:r w:rsidRPr="00370C25">
                  <w:rPr>
                    <w:b/>
                    <w:sz w:val="18"/>
                    <w:szCs w:val="18"/>
                  </w:rPr>
                  <w:t xml:space="preserve"> BDNF (p &lt; 0.0001) in</w:t>
                </w:r>
                <w:r w:rsidR="00912DB3" w:rsidRPr="00370C25">
                  <w:rPr>
                    <w:b/>
                    <w:sz w:val="18"/>
                    <w:szCs w:val="18"/>
                  </w:rPr>
                  <w:t xml:space="preserve"> their</w:t>
                </w:r>
                <w:r w:rsidRPr="00370C25">
                  <w:rPr>
                    <w:b/>
                    <w:sz w:val="18"/>
                    <w:szCs w:val="18"/>
                  </w:rPr>
                  <w:t xml:space="preserve"> serum compared to HIV-negative individuals</w:t>
                </w:r>
                <w:r w:rsidR="00552CBA" w:rsidRPr="00370C25">
                  <w:rPr>
                    <w:b/>
                    <w:sz w:val="18"/>
                    <w:szCs w:val="18"/>
                  </w:rPr>
                  <w:t>. In contrast</w:t>
                </w:r>
                <w:r w:rsidR="006317A4" w:rsidRPr="00370C25">
                  <w:rPr>
                    <w:b/>
                    <w:sz w:val="18"/>
                    <w:szCs w:val="18"/>
                  </w:rPr>
                  <w:t>,</w:t>
                </w:r>
                <w:r w:rsidR="00912DB3" w:rsidRPr="00370C25">
                  <w:rPr>
                    <w:b/>
                    <w:sz w:val="18"/>
                    <w:szCs w:val="18"/>
                  </w:rPr>
                  <w:t xml:space="preserve"> the</w:t>
                </w:r>
                <w:r w:rsidRPr="00370C25">
                  <w:rPr>
                    <w:b/>
                    <w:sz w:val="18"/>
                    <w:szCs w:val="18"/>
                  </w:rPr>
                  <w:t xml:space="preserve"> </w:t>
                </w:r>
                <w:r w:rsidR="00912DB3" w:rsidRPr="00370C25">
                  <w:rPr>
                    <w:b/>
                    <w:sz w:val="18"/>
                    <w:szCs w:val="18"/>
                  </w:rPr>
                  <w:t xml:space="preserve">neurotrophin levels of </w:t>
                </w:r>
                <w:r w:rsidRPr="00370C25">
                  <w:rPr>
                    <w:b/>
                    <w:sz w:val="18"/>
                    <w:szCs w:val="18"/>
                  </w:rPr>
                  <w:t xml:space="preserve">ART-treated PLWH were </w:t>
                </w:r>
                <w:r w:rsidR="00912DB3" w:rsidRPr="00370C25">
                  <w:rPr>
                    <w:b/>
                    <w:sz w:val="18"/>
                    <w:szCs w:val="18"/>
                  </w:rPr>
                  <w:t>similar to those of</w:t>
                </w:r>
                <w:r w:rsidRPr="00370C25">
                  <w:rPr>
                    <w:b/>
                    <w:sz w:val="18"/>
                    <w:szCs w:val="18"/>
                  </w:rPr>
                  <w:t xml:space="preserve"> HIV-negative people. </w:t>
                </w:r>
                <w:r w:rsidR="00912DB3" w:rsidRPr="00370C25">
                  <w:rPr>
                    <w:b/>
                    <w:sz w:val="18"/>
                    <w:szCs w:val="18"/>
                  </w:rPr>
                  <w:t>Furthermore</w:t>
                </w:r>
                <w:r w:rsidRPr="00370C25">
                  <w:rPr>
                    <w:b/>
                    <w:sz w:val="18"/>
                    <w:szCs w:val="18"/>
                  </w:rPr>
                  <w:t xml:space="preserve">, serum NGF </w:t>
                </w:r>
                <w:r w:rsidR="00912DB3" w:rsidRPr="00370C25">
                  <w:rPr>
                    <w:b/>
                    <w:sz w:val="18"/>
                    <w:szCs w:val="18"/>
                  </w:rPr>
                  <w:t xml:space="preserve">showed a negative </w:t>
                </w:r>
                <w:r w:rsidRPr="00370C25">
                  <w:rPr>
                    <w:b/>
                    <w:sz w:val="18"/>
                    <w:szCs w:val="18"/>
                  </w:rPr>
                  <w:t>correlat</w:t>
                </w:r>
                <w:r w:rsidR="00912DB3" w:rsidRPr="00370C25">
                  <w:rPr>
                    <w:b/>
                    <w:sz w:val="18"/>
                    <w:szCs w:val="18"/>
                  </w:rPr>
                  <w:t>ion</w:t>
                </w:r>
                <w:r w:rsidRPr="00370C25">
                  <w:rPr>
                    <w:b/>
                    <w:sz w:val="18"/>
                    <w:szCs w:val="18"/>
                  </w:rPr>
                  <w:t xml:space="preserve"> with blood CD4+ T cell count and </w:t>
                </w:r>
                <w:r w:rsidR="00912DB3" w:rsidRPr="00370C25">
                  <w:rPr>
                    <w:b/>
                    <w:sz w:val="18"/>
                    <w:szCs w:val="18"/>
                  </w:rPr>
                  <w:t xml:space="preserve">a </w:t>
                </w:r>
                <w:r w:rsidRPr="00370C25">
                  <w:rPr>
                    <w:b/>
                    <w:sz w:val="18"/>
                    <w:szCs w:val="18"/>
                  </w:rPr>
                  <w:t>positive</w:t>
                </w:r>
                <w:r w:rsidR="00912DB3" w:rsidRPr="00370C25">
                  <w:rPr>
                    <w:b/>
                    <w:sz w:val="18"/>
                    <w:szCs w:val="18"/>
                  </w:rPr>
                  <w:t xml:space="preserve"> correlation</w:t>
                </w:r>
                <w:r w:rsidRPr="00370C25">
                  <w:rPr>
                    <w:b/>
                    <w:sz w:val="18"/>
                    <w:szCs w:val="18"/>
                  </w:rPr>
                  <w:t xml:space="preserve"> with zenith HIV-RNA</w:t>
                </w:r>
                <w:r w:rsidR="00912DB3" w:rsidRPr="00370C25">
                  <w:rPr>
                    <w:b/>
                    <w:sz w:val="18"/>
                    <w:szCs w:val="18"/>
                  </w:rPr>
                  <w:t>. Conversely,</w:t>
                </w:r>
                <w:r w:rsidRPr="00370C25">
                  <w:rPr>
                    <w:b/>
                    <w:sz w:val="18"/>
                    <w:szCs w:val="18"/>
                  </w:rPr>
                  <w:t xml:space="preserve"> serum BDNF had a positive correlation with blood CD4+ T cell count and CD4/CD8 ratio. </w:t>
                </w:r>
              </w:p>
              <w:p w14:paraId="339ADB33" w14:textId="468F54BD" w:rsidR="0093184E" w:rsidRPr="00370C25" w:rsidRDefault="0093184E" w:rsidP="00757FA3">
                <w:pPr>
                  <w:pStyle w:val="NormaleWeb"/>
                  <w:shd w:val="clear" w:color="auto" w:fill="FFFFFF"/>
                  <w:spacing w:before="0" w:after="120" w:line="276" w:lineRule="auto"/>
                  <w:ind w:left="130" w:right="567"/>
                  <w:jc w:val="both"/>
                  <w:rPr>
                    <w:b/>
                    <w:sz w:val="18"/>
                    <w:szCs w:val="18"/>
                  </w:rPr>
                </w:pPr>
                <w:r w:rsidRPr="00370C25">
                  <w:rPr>
                    <w:b/>
                    <w:sz w:val="18"/>
                    <w:szCs w:val="18"/>
                  </w:rPr>
                  <w:t xml:space="preserve">Discussion: </w:t>
                </w:r>
                <w:r w:rsidR="0037520B" w:rsidRPr="00370C25">
                  <w:rPr>
                    <w:b/>
                    <w:sz w:val="18"/>
                    <w:szCs w:val="18"/>
                  </w:rPr>
                  <w:t xml:space="preserve">The dysregulation in neurotrophin homeostasis due to HIV infection </w:t>
                </w:r>
                <w:r w:rsidR="00AA4A50" w:rsidRPr="00370C25">
                  <w:rPr>
                    <w:b/>
                    <w:sz w:val="18"/>
                    <w:szCs w:val="18"/>
                  </w:rPr>
                  <w:t>appear</w:t>
                </w:r>
                <w:r w:rsidR="00C71A35" w:rsidRPr="00370C25">
                  <w:rPr>
                    <w:b/>
                    <w:sz w:val="18"/>
                    <w:szCs w:val="18"/>
                  </w:rPr>
                  <w:t>s</w:t>
                </w:r>
                <w:r w:rsidR="007729C1" w:rsidRPr="00370C25">
                  <w:rPr>
                    <w:b/>
                    <w:sz w:val="18"/>
                    <w:szCs w:val="18"/>
                  </w:rPr>
                  <w:t xml:space="preserve"> to be </w:t>
                </w:r>
                <w:r w:rsidR="00392B95" w:rsidRPr="00370C25">
                  <w:rPr>
                    <w:b/>
                    <w:sz w:val="18"/>
                    <w:szCs w:val="18"/>
                  </w:rPr>
                  <w:t>restricted to</w:t>
                </w:r>
                <w:r w:rsidR="007729C1" w:rsidRPr="00370C25">
                  <w:rPr>
                    <w:b/>
                    <w:sz w:val="18"/>
                    <w:szCs w:val="18"/>
                  </w:rPr>
                  <w:t xml:space="preserve"> ART-naive individuals.</w:t>
                </w:r>
                <w:r w:rsidR="00AA4A50" w:rsidRPr="00370C25">
                  <w:rPr>
                    <w:b/>
                    <w:sz w:val="18"/>
                    <w:szCs w:val="18"/>
                  </w:rPr>
                  <w:t xml:space="preserve"> </w:t>
                </w:r>
                <w:r w:rsidR="009A4041" w:rsidRPr="00370C25">
                  <w:rPr>
                    <w:b/>
                    <w:sz w:val="18"/>
                    <w:szCs w:val="18"/>
                  </w:rPr>
                  <w:t>However, NGF and BDNF levels remain influenced by both the viro-immunological status at diagnosis and the current immune status</w:t>
                </w:r>
                <w:r w:rsidR="00392B95" w:rsidRPr="00370C25">
                  <w:rPr>
                    <w:b/>
                    <w:sz w:val="18"/>
                    <w:szCs w:val="18"/>
                  </w:rPr>
                  <w:t>, even after effective ART</w:t>
                </w:r>
                <w:r w:rsidR="0037520B" w:rsidRPr="00370C25">
                  <w:rPr>
                    <w:b/>
                    <w:sz w:val="18"/>
                    <w:szCs w:val="18"/>
                  </w:rPr>
                  <w:t>.</w:t>
                </w:r>
              </w:p>
              <w:p w14:paraId="13369B63" w14:textId="5EC7EA93" w:rsidR="00C62F0F" w:rsidRPr="00370C25" w:rsidRDefault="005C19DE" w:rsidP="00534558">
                <w:pPr>
                  <w:pStyle w:val="NormaleWeb"/>
                  <w:shd w:val="clear" w:color="auto" w:fill="FFFFFF"/>
                  <w:spacing w:before="0" w:after="60" w:line="276" w:lineRule="auto"/>
                  <w:ind w:left="130" w:right="567"/>
                  <w:jc w:val="both"/>
                </w:pPr>
                <w:r w:rsidRPr="00370C25">
                  <w:rPr>
                    <w:b/>
                    <w:sz w:val="18"/>
                    <w:szCs w:val="18"/>
                  </w:rPr>
                  <w:t>Conclusion: These findings suggest a distinct neurotrophin signature in untreated HIV infection</w:t>
                </w:r>
                <w:r w:rsidR="00912DB3" w:rsidRPr="00370C25">
                  <w:rPr>
                    <w:b/>
                    <w:sz w:val="18"/>
                    <w:szCs w:val="18"/>
                  </w:rPr>
                  <w:t xml:space="preserve">, as well as a </w:t>
                </w:r>
                <w:r w:rsidRPr="00370C25">
                  <w:rPr>
                    <w:b/>
                    <w:sz w:val="18"/>
                    <w:szCs w:val="18"/>
                  </w:rPr>
                  <w:t xml:space="preserve">strong </w:t>
                </w:r>
                <w:r w:rsidR="00912DB3" w:rsidRPr="00370C25">
                  <w:rPr>
                    <w:b/>
                    <w:sz w:val="18"/>
                    <w:szCs w:val="18"/>
                  </w:rPr>
                  <w:t>correlation between</w:t>
                </w:r>
                <w:r w:rsidRPr="00370C25">
                  <w:rPr>
                    <w:b/>
                    <w:sz w:val="18"/>
                    <w:szCs w:val="18"/>
                  </w:rPr>
                  <w:t xml:space="preserve"> NGF</w:t>
                </w:r>
                <w:r w:rsidR="009A4041" w:rsidRPr="00370C25">
                  <w:rPr>
                    <w:b/>
                    <w:sz w:val="18"/>
                    <w:szCs w:val="18"/>
                  </w:rPr>
                  <w:t xml:space="preserve"> and BDNF</w:t>
                </w:r>
                <w:r w:rsidR="00912DB3" w:rsidRPr="00370C25">
                  <w:rPr>
                    <w:b/>
                    <w:sz w:val="18"/>
                    <w:szCs w:val="18"/>
                  </w:rPr>
                  <w:t xml:space="preserve"> levels</w:t>
                </w:r>
                <w:r w:rsidRPr="00370C25">
                  <w:rPr>
                    <w:b/>
                    <w:sz w:val="18"/>
                    <w:szCs w:val="18"/>
                  </w:rPr>
                  <w:t xml:space="preserve"> </w:t>
                </w:r>
                <w:r w:rsidR="00912DB3" w:rsidRPr="00370C25">
                  <w:rPr>
                    <w:b/>
                    <w:sz w:val="18"/>
                    <w:szCs w:val="18"/>
                  </w:rPr>
                  <w:t xml:space="preserve">and </w:t>
                </w:r>
                <w:r w:rsidRPr="00370C25">
                  <w:rPr>
                    <w:b/>
                    <w:sz w:val="18"/>
                    <w:szCs w:val="18"/>
                  </w:rPr>
                  <w:t>current or historical immune status</w:t>
                </w:r>
                <w:r w:rsidR="00912DB3" w:rsidRPr="00370C25">
                  <w:rPr>
                    <w:b/>
                    <w:sz w:val="18"/>
                    <w:szCs w:val="18"/>
                  </w:rPr>
                  <w:t>. This</w:t>
                </w:r>
                <w:r w:rsidRPr="00370C25">
                  <w:rPr>
                    <w:b/>
                    <w:sz w:val="18"/>
                    <w:szCs w:val="18"/>
                  </w:rPr>
                  <w:t xml:space="preserve"> support</w:t>
                </w:r>
                <w:r w:rsidR="00912DB3" w:rsidRPr="00370C25">
                  <w:rPr>
                    <w:b/>
                    <w:sz w:val="18"/>
                    <w:szCs w:val="18"/>
                  </w:rPr>
                  <w:t>s</w:t>
                </w:r>
                <w:r w:rsidRPr="00370C25">
                  <w:rPr>
                    <w:b/>
                    <w:sz w:val="18"/>
                    <w:szCs w:val="18"/>
                  </w:rPr>
                  <w:t xml:space="preserve"> the need for further exploration of neurotrophins as potential biomarkers of HAND.</w:t>
                </w:r>
              </w:p>
            </w:sdtContent>
          </w:sdt>
        </w:tc>
      </w:tr>
      <w:tr w:rsidR="00C62F0F" w:rsidRPr="00370C25" w14:paraId="5B652B35" w14:textId="77777777">
        <w:tc>
          <w:tcPr>
            <w:tcW w:w="2163" w:type="dxa"/>
            <w:tcBorders>
              <w:top w:val="single" w:sz="4" w:space="0" w:color="000000"/>
              <w:bottom w:val="single" w:sz="4" w:space="0" w:color="000000"/>
            </w:tcBorders>
          </w:tcPr>
          <w:p w14:paraId="176405F9" w14:textId="77777777" w:rsidR="00C62F0F" w:rsidRPr="00370C25" w:rsidRDefault="00C62F0F" w:rsidP="00352F04">
            <w:pPr>
              <w:pStyle w:val="12FigureSchemecaption"/>
              <w:spacing w:before="120" w:line="240" w:lineRule="auto"/>
              <w:ind w:right="-11"/>
              <w:jc w:val="center"/>
              <w:rPr>
                <w:lang w:val="it-IT"/>
              </w:rPr>
            </w:pPr>
            <w:r w:rsidRPr="00370C25">
              <w:rPr>
                <w:rFonts w:eastAsia="Batang"/>
                <w:b/>
                <w:iCs/>
                <w:sz w:val="14"/>
                <w:lang w:val="it-IT"/>
              </w:rPr>
              <w:t xml:space="preserve">A R T I C L </w:t>
            </w:r>
            <w:proofErr w:type="gramStart"/>
            <w:r w:rsidRPr="00370C25">
              <w:rPr>
                <w:rFonts w:eastAsia="Batang"/>
                <w:b/>
                <w:iCs/>
                <w:sz w:val="14"/>
                <w:lang w:val="it-IT"/>
              </w:rPr>
              <w:t>E  H</w:t>
            </w:r>
            <w:proofErr w:type="gramEnd"/>
            <w:r w:rsidRPr="00370C25">
              <w:rPr>
                <w:rFonts w:eastAsia="Batang"/>
                <w:b/>
                <w:iCs/>
                <w:sz w:val="14"/>
                <w:lang w:val="it-IT"/>
              </w:rPr>
              <w:t xml:space="preserve"> I S T O R Y</w:t>
            </w:r>
          </w:p>
        </w:tc>
        <w:tc>
          <w:tcPr>
            <w:tcW w:w="8308" w:type="dxa"/>
            <w:vMerge/>
          </w:tcPr>
          <w:p w14:paraId="7345E4BD" w14:textId="77777777" w:rsidR="00C62F0F" w:rsidRPr="00370C25" w:rsidRDefault="00C62F0F" w:rsidP="00352F04">
            <w:pPr>
              <w:pStyle w:val="04-abstract"/>
              <w:snapToGrid w:val="0"/>
              <w:ind w:left="0"/>
              <w:rPr>
                <w:rFonts w:eastAsia="Batang"/>
                <w:b/>
                <w:iCs/>
                <w:sz w:val="14"/>
                <w:lang w:val="it-IT" w:eastAsia="en-US" w:bidi="x-none"/>
              </w:rPr>
            </w:pPr>
          </w:p>
        </w:tc>
      </w:tr>
      <w:tr w:rsidR="00C62F0F" w:rsidRPr="00370C25" w14:paraId="605F5E19" w14:textId="77777777">
        <w:tc>
          <w:tcPr>
            <w:tcW w:w="2163" w:type="dxa"/>
            <w:tcBorders>
              <w:top w:val="single" w:sz="4" w:space="0" w:color="000000"/>
            </w:tcBorders>
          </w:tcPr>
          <w:p w14:paraId="53377688" w14:textId="77777777" w:rsidR="00C62F0F" w:rsidRPr="00370C25" w:rsidRDefault="00C62F0F" w:rsidP="00352F04">
            <w:pPr>
              <w:pStyle w:val="12FigureSchemecaption"/>
              <w:spacing w:before="60" w:after="0" w:line="240" w:lineRule="auto"/>
            </w:pPr>
            <w:r w:rsidRPr="00370C25">
              <w:rPr>
                <w:rFonts w:eastAsia="Batang"/>
                <w:sz w:val="12"/>
              </w:rPr>
              <w:t xml:space="preserve">Received: </w:t>
            </w:r>
          </w:p>
          <w:p w14:paraId="11CB16ED" w14:textId="77777777" w:rsidR="00C62F0F" w:rsidRPr="00370C25" w:rsidRDefault="00C62F0F" w:rsidP="00352F04">
            <w:pPr>
              <w:pStyle w:val="12FigureSchemecaption"/>
              <w:spacing w:after="0" w:line="240" w:lineRule="auto"/>
            </w:pPr>
            <w:r w:rsidRPr="00370C25">
              <w:rPr>
                <w:rFonts w:eastAsia="Batang"/>
                <w:sz w:val="12"/>
              </w:rPr>
              <w:t xml:space="preserve">Revised: </w:t>
            </w:r>
          </w:p>
          <w:p w14:paraId="373B3B92" w14:textId="77777777" w:rsidR="00C62F0F" w:rsidRPr="00370C25" w:rsidRDefault="00C62F0F" w:rsidP="00352F04">
            <w:pPr>
              <w:pStyle w:val="12FigureSchemecaption"/>
              <w:spacing w:after="0" w:line="240" w:lineRule="auto"/>
            </w:pPr>
            <w:r w:rsidRPr="00370C25">
              <w:rPr>
                <w:rFonts w:eastAsia="Batang"/>
                <w:sz w:val="12"/>
              </w:rPr>
              <w:t xml:space="preserve">Accepted: </w:t>
            </w:r>
          </w:p>
          <w:p w14:paraId="76690FBA" w14:textId="77777777" w:rsidR="00C62F0F" w:rsidRPr="00370C25" w:rsidRDefault="00C62F0F" w:rsidP="00352F04">
            <w:pPr>
              <w:pStyle w:val="12FigureSchemecaption"/>
              <w:spacing w:after="0" w:line="240" w:lineRule="auto"/>
              <w:rPr>
                <w:rFonts w:eastAsia="Batang"/>
                <w:i/>
                <w:sz w:val="12"/>
              </w:rPr>
            </w:pPr>
          </w:p>
          <w:p w14:paraId="378D3B8C" w14:textId="77777777" w:rsidR="00C62F0F" w:rsidRPr="00370C25" w:rsidRDefault="00C62F0F" w:rsidP="00352F04">
            <w:pPr>
              <w:pStyle w:val="12FigureSchemecaption"/>
              <w:spacing w:after="0" w:line="240" w:lineRule="auto"/>
            </w:pPr>
            <w:r w:rsidRPr="00370C25">
              <w:rPr>
                <w:rFonts w:eastAsia="Batang"/>
                <w:i/>
                <w:sz w:val="12"/>
              </w:rPr>
              <w:t xml:space="preserve">DOI: </w:t>
            </w:r>
          </w:p>
        </w:tc>
        <w:tc>
          <w:tcPr>
            <w:tcW w:w="8308" w:type="dxa"/>
            <w:vMerge/>
          </w:tcPr>
          <w:p w14:paraId="40322FC5" w14:textId="77777777" w:rsidR="00C62F0F" w:rsidRPr="00370C25" w:rsidRDefault="00C62F0F" w:rsidP="00352F04">
            <w:pPr>
              <w:pStyle w:val="04-abstract"/>
              <w:snapToGrid w:val="0"/>
              <w:ind w:left="0"/>
              <w:rPr>
                <w:rFonts w:eastAsia="Batang"/>
                <w:b/>
                <w:i/>
                <w:lang w:eastAsia="en-US" w:bidi="x-none"/>
              </w:rPr>
            </w:pPr>
          </w:p>
        </w:tc>
      </w:tr>
    </w:tbl>
    <w:p w14:paraId="73243F61" w14:textId="77777777" w:rsidR="00463667" w:rsidRPr="00370C25" w:rsidRDefault="00463667" w:rsidP="00463667">
      <w:pPr>
        <w:pStyle w:val="04-abstract"/>
        <w:spacing w:after="120"/>
        <w:ind w:left="0"/>
        <w:jc w:val="left"/>
        <w:rPr>
          <w:b/>
          <w:bCs/>
          <w:sz w:val="20"/>
        </w:rPr>
      </w:pPr>
    </w:p>
    <w:p w14:paraId="5DABE332" w14:textId="5C6D961A" w:rsidR="00C33410" w:rsidRPr="00370C25" w:rsidRDefault="00C62F0F" w:rsidP="006C2178">
      <w:pPr>
        <w:pStyle w:val="04-abstract"/>
        <w:spacing w:after="120"/>
        <w:ind w:left="0"/>
        <w:jc w:val="left"/>
        <w:rPr>
          <w:color w:val="333333"/>
          <w:sz w:val="21"/>
          <w:szCs w:val="21"/>
          <w:shd w:val="clear" w:color="auto" w:fill="FFFFFF"/>
        </w:rPr>
      </w:pPr>
      <w:r w:rsidRPr="00370C25">
        <w:rPr>
          <w:b/>
          <w:bCs/>
          <w:sz w:val="20"/>
        </w:rPr>
        <w:t xml:space="preserve">Keywords: </w:t>
      </w:r>
      <w:sdt>
        <w:sdtPr>
          <w:rPr>
            <w:sz w:val="20"/>
          </w:rPr>
          <w:id w:val="758024137"/>
          <w:placeholder>
            <w:docPart w:val="85C2668CDC384307B038AC8EC2388103"/>
          </w:placeholder>
        </w:sdtPr>
        <w:sdtEndPr>
          <w:rPr>
            <w:color w:val="333333"/>
            <w:sz w:val="21"/>
            <w:szCs w:val="21"/>
            <w:shd w:val="clear" w:color="auto" w:fill="FFFFFF"/>
          </w:rPr>
        </w:sdtEndPr>
        <w:sdtContent>
          <w:r w:rsidR="00534558" w:rsidRPr="00370C25">
            <w:rPr>
              <w:sz w:val="20"/>
            </w:rPr>
            <w:t xml:space="preserve">neurotrophins, people living with HIV, nerve growth </w:t>
          </w:r>
          <w:proofErr w:type="gramStart"/>
          <w:r w:rsidR="00534558" w:rsidRPr="00370C25">
            <w:rPr>
              <w:sz w:val="20"/>
            </w:rPr>
            <w:t>factor</w:t>
          </w:r>
          <w:proofErr w:type="gramEnd"/>
          <w:r w:rsidR="00534558" w:rsidRPr="00370C25">
            <w:rPr>
              <w:sz w:val="20"/>
            </w:rPr>
            <w:t xml:space="preserve">, brain-derived neurotrophic </w:t>
          </w:r>
          <w:proofErr w:type="gramStart"/>
          <w:r w:rsidR="00534558" w:rsidRPr="00370C25">
            <w:rPr>
              <w:sz w:val="20"/>
            </w:rPr>
            <w:t>factor</w:t>
          </w:r>
          <w:proofErr w:type="gramEnd"/>
          <w:r w:rsidR="00534558" w:rsidRPr="00370C25">
            <w:rPr>
              <w:sz w:val="20"/>
            </w:rPr>
            <w:t>, antiretroviral therapy</w:t>
          </w:r>
          <w:r w:rsidR="0001159F" w:rsidRPr="00370C25">
            <w:rPr>
              <w:sz w:val="20"/>
            </w:rPr>
            <w:t>, immune system.</w:t>
          </w:r>
        </w:sdtContent>
      </w:sdt>
    </w:p>
    <w:p w14:paraId="2637E8C8" w14:textId="77777777" w:rsidR="00463667" w:rsidRPr="00370C25" w:rsidRDefault="00463667" w:rsidP="00463667">
      <w:pPr>
        <w:pStyle w:val="05-ArticleText"/>
        <w:pBdr>
          <w:top w:val="single" w:sz="8" w:space="1" w:color="000000"/>
          <w:left w:val="none" w:sz="0" w:space="0" w:color="000000"/>
          <w:bottom w:val="none" w:sz="0" w:space="0" w:color="000000"/>
          <w:right w:val="none" w:sz="0" w:space="0" w:color="000000"/>
        </w:pBdr>
        <w:spacing w:after="0" w:line="180" w:lineRule="exact"/>
        <w:rPr>
          <w:rStyle w:val="Collegamentoipertestuale"/>
          <w:sz w:val="16"/>
        </w:rPr>
      </w:pPr>
      <w:r w:rsidRPr="00370C25">
        <w:rPr>
          <w:sz w:val="16"/>
        </w:rPr>
        <w:t xml:space="preserve">*Address correspondence to this author at the </w:t>
      </w:r>
      <w:sdt>
        <w:sdtPr>
          <w:rPr>
            <w:sz w:val="16"/>
          </w:rPr>
          <w:id w:val="712466388"/>
          <w:placeholder>
            <w:docPart w:val="28E2F48476474141B156A65B0901B84F"/>
          </w:placeholder>
        </w:sdtPr>
        <w:sdtEndPr>
          <w:rPr>
            <w:rStyle w:val="Collegamentoipertestuale"/>
            <w:color w:val="0000FF"/>
            <w:u w:val="single"/>
          </w:rPr>
        </w:sdtEndPr>
        <w:sdtContent>
          <w:r w:rsidRPr="00370C25">
            <w:rPr>
              <w:sz w:val="16"/>
            </w:rPr>
            <w:t xml:space="preserve">National Research Council (CNR), Piazzale Aldo Moro 7, Roma (RM), 00118, Italy; Tel: +393291040812; E-mail: </w:t>
          </w:r>
          <w:hyperlink r:id="rId8" w:history="1">
            <w:r w:rsidRPr="00370C25">
              <w:rPr>
                <w:rStyle w:val="Collegamentoipertestuale"/>
                <w:sz w:val="16"/>
              </w:rPr>
              <w:t>marco.fiore@cnr.it</w:t>
            </w:r>
          </w:hyperlink>
        </w:sdtContent>
      </w:sdt>
    </w:p>
    <w:p w14:paraId="49EA0A03" w14:textId="77777777" w:rsidR="00463667" w:rsidRPr="00370C25" w:rsidRDefault="00463667" w:rsidP="00463667">
      <w:pPr>
        <w:pStyle w:val="05-ArticleText"/>
        <w:pBdr>
          <w:top w:val="single" w:sz="8" w:space="1" w:color="000000"/>
          <w:left w:val="none" w:sz="0" w:space="0" w:color="000000"/>
          <w:bottom w:val="none" w:sz="0" w:space="0" w:color="000000"/>
          <w:right w:val="none" w:sz="0" w:space="0" w:color="000000"/>
        </w:pBdr>
        <w:spacing w:after="0" w:line="180" w:lineRule="exact"/>
        <w:rPr>
          <w:i/>
          <w:iCs/>
          <w:color w:val="000000" w:themeColor="text1"/>
          <w:sz w:val="16"/>
        </w:rPr>
      </w:pPr>
      <w:r w:rsidRPr="00370C25">
        <w:rPr>
          <w:color w:val="000000" w:themeColor="text1"/>
          <w:sz w:val="16"/>
          <w:vertAlign w:val="superscript"/>
        </w:rPr>
        <w:t>†</w:t>
      </w:r>
      <w:r w:rsidRPr="00370C25">
        <w:rPr>
          <w:i/>
          <w:iCs/>
          <w:color w:val="000000" w:themeColor="text1"/>
          <w:sz w:val="16"/>
        </w:rPr>
        <w:t>These authors contributed equally to this work</w:t>
      </w:r>
    </w:p>
    <w:p w14:paraId="214CF677" w14:textId="597A1D6C" w:rsidR="00E70AF5" w:rsidRPr="00370C25" w:rsidRDefault="00E70AF5" w:rsidP="00E70AF5">
      <w:pPr>
        <w:pStyle w:val="06-Heading-1"/>
        <w:spacing w:after="360"/>
        <w:sectPr w:rsidR="00E70AF5" w:rsidRPr="00370C25" w:rsidSect="007373B1">
          <w:headerReference w:type="even" r:id="rId9"/>
          <w:headerReference w:type="default" r:id="rId10"/>
          <w:headerReference w:type="first" r:id="rId11"/>
          <w:footerReference w:type="first" r:id="rId12"/>
          <w:type w:val="continuous"/>
          <w:pgSz w:w="12240" w:h="15840"/>
          <w:pgMar w:top="1134" w:right="709" w:bottom="1134" w:left="1276" w:header="720" w:footer="964" w:gutter="0"/>
          <w:cols w:space="425"/>
          <w:titlePg/>
          <w:docGrid w:linePitch="360"/>
        </w:sectPr>
      </w:pPr>
    </w:p>
    <w:p w14:paraId="31DAD6E8" w14:textId="77777777" w:rsidR="00E70AF5" w:rsidRPr="00370C25" w:rsidRDefault="00E70AF5" w:rsidP="00E70AF5">
      <w:pPr>
        <w:pStyle w:val="06-Heading-1"/>
        <w:spacing w:before="360"/>
      </w:pPr>
    </w:p>
    <w:p w14:paraId="6712B461" w14:textId="76A1A243" w:rsidR="00C33410" w:rsidRPr="00370C25" w:rsidRDefault="00C33410" w:rsidP="00E70AF5">
      <w:pPr>
        <w:pStyle w:val="06-Heading-1"/>
        <w:spacing w:before="360"/>
      </w:pPr>
      <w:r w:rsidRPr="00370C25">
        <w:t xml:space="preserve">1. </w:t>
      </w:r>
      <w:r w:rsidRPr="00370C25">
        <w:rPr>
          <w:bCs/>
        </w:rPr>
        <w:t>INTRODUCTION</w:t>
      </w:r>
    </w:p>
    <w:p w14:paraId="16879965" w14:textId="03D21908" w:rsidR="00463667" w:rsidRPr="00370C25" w:rsidRDefault="004309D6" w:rsidP="005A1591">
      <w:pPr>
        <w:spacing w:after="240"/>
        <w:ind w:firstLine="284"/>
        <w:jc w:val="both"/>
        <w:rPr>
          <w:sz w:val="21"/>
          <w:szCs w:val="21"/>
        </w:rPr>
      </w:pPr>
      <w:bookmarkStart w:id="0" w:name="_Hlk216446127"/>
      <w:r w:rsidRPr="00370C25">
        <w:rPr>
          <w:sz w:val="21"/>
          <w:szCs w:val="21"/>
        </w:rPr>
        <w:t>Thanks to effective antiretroviral therapies (ARTs) that have been developed</w:t>
      </w:r>
      <w:r w:rsidR="006317A4" w:rsidRPr="00370C25">
        <w:rPr>
          <w:sz w:val="21"/>
          <w:szCs w:val="21"/>
        </w:rPr>
        <w:t xml:space="preserve"> over the years</w:t>
      </w:r>
      <w:r w:rsidRPr="00370C25">
        <w:rPr>
          <w:sz w:val="21"/>
          <w:szCs w:val="21"/>
        </w:rPr>
        <w:t>, HIV</w:t>
      </w:r>
      <w:r w:rsidR="00463667" w:rsidRPr="00370C25">
        <w:rPr>
          <w:sz w:val="21"/>
          <w:szCs w:val="21"/>
        </w:rPr>
        <w:t xml:space="preserve"> replication is nowadays kept under control in most people living with HIV (PLWH). However, PLWH often exhibit persistent chronic immune dysfunction</w:t>
      </w:r>
      <w:r w:rsidR="008F4350" w:rsidRPr="00370C25">
        <w:rPr>
          <w:sz w:val="21"/>
          <w:szCs w:val="21"/>
        </w:rPr>
        <w:t>,</w:t>
      </w:r>
      <w:r w:rsidR="00463667" w:rsidRPr="00370C25">
        <w:rPr>
          <w:sz w:val="21"/>
          <w:szCs w:val="21"/>
        </w:rPr>
        <w:t xml:space="preserve"> which, </w:t>
      </w:r>
      <w:r w:rsidRPr="00370C25">
        <w:rPr>
          <w:sz w:val="21"/>
          <w:szCs w:val="21"/>
        </w:rPr>
        <w:t>alongside</w:t>
      </w:r>
      <w:r w:rsidR="00463667" w:rsidRPr="00370C25">
        <w:rPr>
          <w:sz w:val="21"/>
          <w:szCs w:val="21"/>
        </w:rPr>
        <w:t xml:space="preserve"> the direct effect</w:t>
      </w:r>
      <w:r w:rsidR="00552CBA" w:rsidRPr="00370C25">
        <w:rPr>
          <w:sz w:val="21"/>
          <w:szCs w:val="21"/>
        </w:rPr>
        <w:t>s</w:t>
      </w:r>
      <w:r w:rsidR="00463667" w:rsidRPr="00370C25">
        <w:rPr>
          <w:sz w:val="21"/>
          <w:szCs w:val="21"/>
        </w:rPr>
        <w:t xml:space="preserve"> of the virus and the toxicities of ART, can </w:t>
      </w:r>
      <w:r w:rsidRPr="00370C25">
        <w:rPr>
          <w:sz w:val="21"/>
          <w:szCs w:val="21"/>
        </w:rPr>
        <w:t xml:space="preserve">lead to </w:t>
      </w:r>
      <w:r w:rsidR="006317A4" w:rsidRPr="00370C25">
        <w:rPr>
          <w:sz w:val="21"/>
          <w:szCs w:val="21"/>
        </w:rPr>
        <w:t xml:space="preserve">alterations </w:t>
      </w:r>
      <w:r w:rsidRPr="00370C25">
        <w:rPr>
          <w:sz w:val="21"/>
          <w:szCs w:val="21"/>
        </w:rPr>
        <w:t xml:space="preserve">in </w:t>
      </w:r>
      <w:r w:rsidR="00552CBA" w:rsidRPr="00370C25">
        <w:rPr>
          <w:sz w:val="21"/>
          <w:szCs w:val="21"/>
        </w:rPr>
        <w:t>various</w:t>
      </w:r>
      <w:r w:rsidRPr="00370C25">
        <w:rPr>
          <w:sz w:val="21"/>
          <w:szCs w:val="21"/>
        </w:rPr>
        <w:t xml:space="preserve"> </w:t>
      </w:r>
      <w:r w:rsidR="006317A4" w:rsidRPr="00370C25">
        <w:rPr>
          <w:sz w:val="21"/>
          <w:szCs w:val="21"/>
        </w:rPr>
        <w:t>organ systems</w:t>
      </w:r>
      <w:r w:rsidR="00463667" w:rsidRPr="00370C25">
        <w:rPr>
          <w:sz w:val="21"/>
          <w:szCs w:val="21"/>
        </w:rPr>
        <w:t xml:space="preserve">, </w:t>
      </w:r>
      <w:r w:rsidRPr="00370C25">
        <w:rPr>
          <w:sz w:val="21"/>
          <w:szCs w:val="21"/>
        </w:rPr>
        <w:t>increasing the</w:t>
      </w:r>
      <w:r w:rsidR="00463667" w:rsidRPr="00370C25">
        <w:rPr>
          <w:sz w:val="21"/>
          <w:szCs w:val="21"/>
        </w:rPr>
        <w:t xml:space="preserve"> risk </w:t>
      </w:r>
      <w:r w:rsidRPr="00370C25">
        <w:rPr>
          <w:sz w:val="21"/>
          <w:szCs w:val="21"/>
        </w:rPr>
        <w:t>of</w:t>
      </w:r>
      <w:r w:rsidR="00463667" w:rsidRPr="00370C25">
        <w:rPr>
          <w:sz w:val="21"/>
          <w:szCs w:val="21"/>
        </w:rPr>
        <w:t xml:space="preserve"> cardiovascular, liver, kidney, bone</w:t>
      </w:r>
      <w:r w:rsidR="008F4350" w:rsidRPr="00370C25">
        <w:rPr>
          <w:sz w:val="21"/>
          <w:szCs w:val="21"/>
        </w:rPr>
        <w:t>,</w:t>
      </w:r>
      <w:r w:rsidR="00463667" w:rsidRPr="00370C25">
        <w:rPr>
          <w:sz w:val="21"/>
          <w:szCs w:val="21"/>
        </w:rPr>
        <w:t xml:space="preserve"> and neurologic</w:t>
      </w:r>
      <w:r w:rsidRPr="00370C25">
        <w:rPr>
          <w:sz w:val="21"/>
          <w:szCs w:val="21"/>
        </w:rPr>
        <w:t>al</w:t>
      </w:r>
      <w:r w:rsidR="00463667" w:rsidRPr="00370C25">
        <w:rPr>
          <w:sz w:val="21"/>
          <w:szCs w:val="21"/>
        </w:rPr>
        <w:t xml:space="preserve"> diseases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{"citationItems":[{"id":"ITEM-1","itemData":{"DOI":"10.1111/imj.70200","ISSN":"1445-5994 (Electronic)","PMID":"41035181","abstract":"Effective antiviral therapy for human immunodeficiency virus (HIV) has  substantially reduced HIV-associated morbidity and mortality for people living with HIV (PLWH). The use of antiviral therapies as prevention, most notably pre-exposure prophylaxis (PrEP) as well as treatment as prevention (TasP), has significantly reduced the number of new infections in those using these biomedical prevention approaches (PrEP) and their sexual partners (TasP). However, nearly one-quarter of new HIV infections globally occur in the Asia-Pacific region (approximately 300 000 per annum) with a substantial number of deaths annually. Despite therapeutic advances, the total number of PLWH has increased worldwide. Although antiviral therapy has substantially reduced HIV-specific morbidity and mortality and is associated with significantly increased longevity, PLWH experience higher rates of chronic comorbidities than the general population. It is important that preventative approaches such as immunisation against specific conditions, lifestyle modification, smoking cessation and cancer screening are optimised for PLWH. Physicians are likely to care for PLWH in almost all subspecialties including aged care. Recent data support the use of organ transplantation in PLWH including from donors who also have HIV infection. HIV is most certainly not 'a thing of the past'.","author":[{"dropping-particle":"","family":"Post","given":"Jeffrey John","non-dropping-particle":"","parse-names":false,"suffix":""}],"container-title":"Internal medicine journal","id":"ITEM-1","issued":{"date-parts":[["2025","10"]]},"language":"eng","publisher-place":"Australia","title":"HIV: is it now a thing of the past?","type":"article-journal"},"uris":["http://www.mendeley.com/documents/?uuid=9966e3bd-ccb6-4913-9afc-a8b3ebdc76e8"]},{"id":"ITEM-2","itemData":{"DOI":"10.1016/j.immuni.2013.10.001","ISSN":"1097-4180 (Electronic)","PMID":"24138880","abstract":"Combination antiretroviral therapy for HIV infection improves immune function and  eliminates the risk of AIDS-related complications but does not restore full health. HIV-infected adults have excess risk of cardiovascular, liver, kidney, bone, and neurologic diseases. Many markers of inflammation are elevated in HIV disease and strongly predictive of the risk of morbidity and mortality. A conceptual model has emerged to explain this syndrome of diseases where HIV-mediated destruction of gut mucosa leads to local and systemic inflammation. Translocated microbial products then pass through the liver, contributing to hepatic damage, impaired microbial clearance, and impaired protein synthesis. Chronic activation of monocytes and altered liver protein synthesis subsequently contribute to a hypercoagulable state. The combined effect of systemic inflammation and excess clotting on tissue function leads to end-organ disease. Multiple therapeutic interventions designed to reverse these pathways are now being tested in the clinic. It is likely that knowledge gained on how inflammation affects health in HIV disease could have implications for our understanding of other chronic inflammatory diseases and the biology of aging.","author":[{"dropping-particle":"","family":"Deeks","given":"Steven G","non-dropping-particle":"","parse-names":false,"suffix":""},{"dropping-particle":"","family":"Tracy","given":"Russell","non-dropping-particle":"","parse-names":false,"suffix":""},{"dropping-particle":"","family":"Douek","given":"Daniel C","non-dropping-particle":"","parse-names":false,"suffix":""}],"container-title":"Immunity","id":"ITEM-2","issue":"4","issued":{"date-parts":[["2013","10"]]},"language":"eng","page":"633-645","publisher-place":"United States","title":"Systemic effects of inflammation on health during chronic HIV infection.","type":"article-journal","volume":"39"},"uris":["http://www.mendeley.com/documents/?uuid=07681006-d321-4623-bdbc-e341b8f09725"]},{"id":"ITEM-3","itemData":{"DOI":"10.3390/v11030200","ISSN":"1999-4915 (Electronic)","PMID":"30818749","abstract":"Despite effective antiretroviral therapy (ART), people living with HIV (PLWH)  still present persistent chronic immune activation and inflammation. This condition is the result of several factors including thymic dysfunction, persistent antigen stimulation due to low residual viremia, microbial translocation and dysbiosis, caused by the disruption of the gut mucosa, co-infections, and cumulative ART toxicity. All of these factors can create a vicious cycle that does not allow the full control of immune activation and inflammation, leading to an increased risk of developing non-AIDS co-morbidities such as metabolic syndrome and cardiovascular diseases. This review aims to provide an overview of the most recent data about HIV-associated inflammation and chronic immune exhaustion in PLWH under effective ART. Furthermore, we discuss new therapy approaches that are currently being tested to reduce the risk of developing inflammation, ART toxicity, and non-AIDS co-morbidities.","author":[{"dropping-particle":"","family":"Zicari","given":"Sonia","non-dropping-particle":"","parse-names":false,"suffix":""},{"dropping-particle":"","family":"Sessa","given":"Libera","non-dropping-particle":"","parse-names":false,"suffix":""},{"dropping-particle":"","family":"Cotugno","given":"Nicola","non-dropping-particle":"","parse-names":false,"suffix":""},{"dropping-particle":"","family":"Ruggiero","given":"Alessandra","non-dropping-particle":"","parse-names":false,"suffix":""},{"dropping-particle":"","family":"Morrocchi","given":"Elena","non-dropping-particle":"","parse-names":false,"suffix":""},{"dropping-particle":"","family":"Concato","given":"Carlo","non-dropping-particle":"","parse-names":false,"suffix":""},{"dropping-particle":"","family":"Rocca","given":"Salvatore","non-dropping-particle":"","parse-names":false,"suffix":""},{"dropping-particle":"","family":"Zangari","given":"Paola","non-dropping-particle":"","parse-names":false,"suffix":""},{"dropping-particle":"","family":"Manno","given":"Emma C","non-dropping-particle":"","parse-names":false,"suffix":""},{"dropping-particle":"","family":"Palma","given":"Paolo","non-dropping-particle":"","parse-names":false,"suffix":""}],"container-title":"Viruses","id":"ITEM-3","issue":"3","issued":{"date-parts":[["2019","2"]]},"language":"eng","publisher-place":"Switzerland","title":"Immune Activation, Inflammation, and Non-AIDS Co-Morbidities in HIV-Infected  Patients under Long-Term ART.","type":"article-journal","volume":"11"},"uris":["http://www.mendeley.com/documents/?uuid=c382a206-9c41-4a10-b8d2-5c4302c46131"]},{"id":"ITEM-4","itemData":{"DOI":"10.1161/ATVBAHA.122.318232","ISSN":"1524-4636 (Electronic)","PMID":"36453273","abstract":"HIV infection has transitioned from an acute, fatal disease to a chronic one  managed by antiretroviral therapy. Thus, the aging population of people living with HIV (PLWH) continues to expand. HIV infection results in a dysregulated immune system, wherein CD4(+) T cells are depleted, particularly in the gastrointestinal tract, disrupting the gut epithelial barrier. Long-term HIV infection is associated with chronic inflammation through potentially direct mechanisms caused by viral replication or exposure to viral proteins and indirect mechanisms resulting from increased translocation of microbial products from the intestine or exposure to antiretroviral therapy. Chronic inflammation (as marked by IL [interleukin]-6 and CRP [C-reactive protein]) in PLWH promotes endothelial cell dysfunction and atherosclerosis. PLWH show significantly increased rates of cardiovascular disease, such as myocardial infarction (risk ratio, 1.79 [95% CI, 1.54-2.08]) and stroke (risk ratio, 2.56 [95% CI, 1.43-4.61]). In addition, PLWH have increased levels of the coagulation biomarker D-dimer and have a two to ten-fold increased risk of venous thromboembolism compared with the general population. Several small clinical trials analyzed the effect of different antithrombotic agents on platelet activation, coagulation, inflammation, and immune cell activation. Although some markers for coagulation were reduced, most agents failed to reduce inflammatory markers in PLWH. More studies are needed to understand the underlying mechanisms driving inflammation in PLWH to create better therapies for lowering chronic inflammation in PLWH. Such therapies can potentially reduce atherosclerosis, cardiovascular disease, and thrombosis rates in PLWH and thus overall mortality in this population.","author":[{"dropping-particle":"V","family":"Perkins","given":"Megan","non-dropping-particle":"","parse-names":false,"suffix":""},{"dropping-particle":"","family":"Joseph","given":"Sarah B","non-dropping-particle":"","parse-names":false,"suffix":""},{"dropping-particle":"","family":"Dittmer","given":"Dirk P","non-dropping-particle":"","parse-names":false,"suffix":""},{"dropping-particle":"","family":"Mackman","given":"Nigel","non-dropping-particle":"","parse-names":false,"suffix":""}],"container-title":"Arteriosclerosis, thrombosis, and vascular biology","id":"ITEM-4","issue":"2","issued":{"date-parts":[["2023","2"]]},"language":"eng","page":"175-191","publisher-place":"United States","title":"Cardiovascular Disease and Thrombosis in HIV Infection.","type":"article-journal","volume":"43"},"uris":["http://www.mendeley.com/documents/?uuid=c2064d87-3ced-4a80-9909-68848b769c7f"]},{"id":"ITEM-5","itemData":{"DOI":"10.1186/s12879-024-09594-5","ISSN":"1471-2334","abstract":"Monitoring chronic diseases, particularly kidney disorders, in people living with HIV (PLWH) is of paramount importance. Here, a systematic search was conducted across electronic search engine and databases like PubMed, Scopus, and Google Scholar, from date of inception until December 2023, to identify pertinent studies reporting on any association between inflammation and kidney function in PLWH. Only six clinical studies in peer-reviewed journals met the inclusion criteria, involving 1467 participants aged 37 to 51, with approximately 17% being females. The report emphasizes the potential impact of highly active antiretroviral therapy (HAART) on kidney function in PLWH, highlighting the significance of monitoring inflammation markers as indicators of kidney function, even when HAART is effective. Acknowledging study limitations, particularly the scarcity of relevant research, the findings highlight a need for more research to inform on clinical guidance to optimize HIV management, particularly regarding kidney health and HAART regimens. Although very limited studies were evaluated, the study lays an important foundation for future research to uncover the complex relationship between HAART, inflammation markers, and kidney health in PLWH.","author":[{"dropping-particle":"","family":"Choshi","given":"Joel","non-dropping-particle":"","parse-names":false,"suffix":""},{"dropping-particle":"","family":"Hanser","given":"Sidney","non-dropping-particle":"","parse-names":false,"suffix":""},{"dropping-particle":"","family":"Mabhida","given":"Sihle E","non-dropping-particle":"","parse-names":false,"suffix":""},{"dropping-particle":"","family":"Mokoena","given":"Haskly","non-dropping-particle":"","parse-names":false,"suffix":""},{"dropping-particle":"","family":"Moetlediwa","given":"Marakiya T","non-dropping-particle":"","parse-names":false,"suffix":""},{"dropping-particle":"","family":"Muvhulawa","given":"Ndivhuwo","non-dropping-particle":"","parse-names":false,"suffix":""},{"dropping-particle":"","family":"Sekgala","given":"Machoene D","non-dropping-particle":"","parse-names":false,"suffix":""},{"dropping-particle":"","family":"Nkambule","given":"Bongani B","non-dropping-particle":"","parse-names":false,"suffix":""},{"dropping-particle":"","family":"Mchiza","given":"Zandile J R","non-dropping-particle":"","parse-names":false,"suffix":""},{"dropping-particle":"","family":"Ndwandwe","given":"Duduzile","non-dropping-particle":"","parse-names":false,"suffix":""},{"dropping-particle":"","family":"Nqebelele","given":"Unati","non-dropping-particle":"","parse-names":false,"suffix":""},{"dropping-particle":"","family":"Kengne","given":"André P","non-dropping-particle":"","parse-names":false,"suffix":""},{"dropping-particle":"V","family":"Dludla","given":"Phiwayinkosi","non-dropping-particle":"","parse-names":false,"suffix":""}],"container-title":"BMC Infectious Diseases","id":"ITEM-5","issue":"1","issued":{"date-parts":[["2024"]]},"page":"776","title":"A systematic review assessing the association of inflammatory markers with kidney dysfunction in people living with HIV on highly active antiretroviral therapy","type":"article-journal","volume":"24"},"uris":["http://www.mendeley.com/documents/?uuid=38906d66-e414-49cf-b68c-de18ca72661d"]}],"mendeley":{"formattedCitation":"[1–5]","plainTextFormattedCitation":"[1–5]","previouslyFormattedCitation":"[1–5]"},"properties":{"noteIndex":0},"schema":"https://github.com/citation-style-language/schema/raw/master/csl-citation.json"}</w:instrText>
      </w:r>
      <w:r w:rsidR="004268A2" w:rsidRPr="00370C25">
        <w:rPr>
          <w:rStyle w:val="Rimandonotaapidipagina"/>
          <w:sz w:val="21"/>
          <w:szCs w:val="21"/>
        </w:rPr>
        <w:fldChar w:fldCharType="separate"/>
      </w:r>
      <w:r w:rsidR="000945B8" w:rsidRPr="00370C25">
        <w:rPr>
          <w:bCs/>
          <w:noProof/>
          <w:sz w:val="21"/>
          <w:szCs w:val="21"/>
        </w:rPr>
        <w:t>[1–5]</w:t>
      </w:r>
      <w:r w:rsidR="004268A2" w:rsidRPr="00370C25">
        <w:rPr>
          <w:rStyle w:val="Rimandonotaapidipagina"/>
          <w:sz w:val="21"/>
          <w:szCs w:val="21"/>
        </w:rPr>
        <w:fldChar w:fldCharType="end"/>
      </w:r>
      <w:r w:rsidR="00463667" w:rsidRPr="00370C25">
        <w:rPr>
          <w:sz w:val="21"/>
          <w:szCs w:val="21"/>
        </w:rPr>
        <w:t xml:space="preserve">. These serious non-AIDS events (SNAEs) became the main causes of morbidity and mortality in the ART era and are increasing in parallel with the longer life expectancy of PLWH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{"citationItems":[{"id":"ITEM-1","itemData":{"DOI":"10.1007/s40265-016-0546-7","ISSN":"1179-1950 (Electronic)","PMID":"26915027","abstract":"In the antiretroviral therapy (ART) era, serious non-AIDS events (SNAEs) have  become the major causes of morbidity and mortality in HIV-infected persons. Early ART initiation has the strongest evidence for reducing SNAEs and mortality. Biomarkers of immune activation, inflammation and coagulopathy do not fully normalize despite virologic suppression and persistent immune activation is an important contributor to SNAEs. A number of strategies aimed to reduce persistent immune activation including ART intensification to reduce residual viremia; treatment of co-infections to reduce chronic antigen stimulation; the use of anti-inflammatory agents, reducing microbial translocation as well as interventions to improve immune recovery through cytokine administration and reducing lymphoid tissue fibrosis, have been investigated. To date, there is little conclusive evidence on which strategies beyond treatment of hepatitis B and C co-infections and reducing cardiovascular risk factors will result in clinical benefits in patients already on ART with viral suppression. The use of statins seems to show early promise and larger clinical trials are underway to confirm their efficacy. At this stage, clinical care of HIV-infected patients should therefore focus on early diagnosis and prompt ART initiation, treatment of active co-infections and the aggressive management of co-morbidities until further data are available.","author":[{"dropping-particle":"","family":"Hsu","given":"Denise C","non-dropping-particle":"","parse-names":false,"suffix":""},{"dropping-particle":"","family":"Sereti","given":"Irini","non-dropping-particle":"","parse-names":false,"suffix":""}],"container-title":"Drugs","id":"ITEM-1","issue":"5","issued":{"date-parts":[["2016","4"]]},"language":"eng","page":"533-549","publisher-place":"New Zealand","title":"Serious Non-AIDS Events: Therapeutic Targets of Immune Activation and Chronic  Inflammation in HIV Infection.","type":"article-journal","volume":"76"},"uris":["http://www.mendeley.com/documents/?uuid=2c6f8175-39ed-4484-a1a0-9c5b3ac8f6d2"]},{"id":"ITEM-2","itemData":{"DOI":"10.1097/01.qai.0000233310.90484.16","ISSN":"1525-4135 (Print)","PMID":"16878047","abstract":"BACKGROUND: AIDS-related death and disease rates have declined in the highly  active antiretroviral therapy (HAART) era and remain low; however, current causes of death in HAART-treated patients remain ill defined. OBJECTIVE: To describe mortality trends and causes of death among HIV-infected patients in the HAART era. DESIGN: Prospective, multicenter, observational cohort study of participants in the HIV Outpatient Study who were treated from January 1996 through December 2004. MEASUREMENTS: Rates of death, opportunistic disease, and other non-AIDS-defining illnesses (NADIs) determined to be primary or secondary causes of death. RESULTS: Among 6945 HIV-infected patients followed for a median of 39.2 months, death rates fell from 7.0 deaths/100 person-years of observation in 1996 to 1.3 deaths/100 person-years in 2004 (P=0.008 for trend). Deaths that included AIDS-related causes decreased from 3.79/100 person-years in 1996 to 0.32/100 person-years in 2004 (P=0.008). Proportional increases in deaths involving liver disease, bacteremia/sepsis, gastrointestinal disease, non-AIDS malignancies, and renal disease also occurred (P=or&lt;0.001, 0.017, 0.006, &lt;0.001, and 0.037, respectively.) Hepatic disease was the only reported cause of death for which absolute rates increased over time, albeit not significantly, from 0.09/100 person-years in 1996 to 0.16/100 person-years in 2004 (P=0.10). The percentage of deaths due exclusively to NADI rose from 13.1% in 1996 to 42.5% in 2004 (P&lt;0.001 for trend), the most frequent of which were cardiovascular, hepatic, and pulmonary disease, and non-AIDS malignancies in 2004. Mean CD4 cell counts closest to death (n=486 deaths) increased from 59 cells/microL in 1996 to 287 cells/microL in 2004 (P&lt;0.001 for trend). Patients dying of NADI causes were more HAART experienced and initiated HAART at higher CD4 cell counts than those who died with AIDS (34.5% vs 16.8%, respectively, received HAART for 4 of more years, P&lt;0.0001; 22.4% vs 7.8%, respectively, initiated HAART with CD4 cell counts of more than 350 cells/microL, P&lt;0.001). CONCLUSIONS: Although overall death rates remained low through 2004, the proportion of deaths attributable to non-AIDS diseases increased and prominently included hepatic, cardiovascular, and pulmonary diseases, as well as non-AIDS malignancies. Longer time spent receiving HAART and higher CD4 cell counts at HAART initiation were associated with death from non-AIDS causes. CD4 cell count at time of death i…","author":[{"dropping-particle":"","family":"Palella","given":"Frank J Jr","non-dropping-particle":"","parse-names":false,"suffix":""},{"dropping-particle":"","family":"Baker","given":"Rose K","non-dropping-particle":"","parse-names":false,"suffix":""},{"dropping-particle":"","family":"Moorman","given":"Anne C","non-dropping-particle":"","parse-names":false,"suffix":""},{"dropping-particle":"","family":"Chmiel","given":"Joan S","non-dropping-particle":"","parse-names":false,"suffix":""},{"dropping-particle":"","family":"Wood","given":"Kathleen C","non-dropping-particle":"","parse-names":false,"suffix":""},{"dropping-particle":"","family":"Brooks","given":"John T","non-dropping-particle":"","parse-names":false,"suffix":""},{"dropping-particle":"","family":"Holmberg","given":"Scott D","non-dropping-particle":"","parse-names":false,"suffix":""}],"container-title":"Journal of acquired immune deficiency syndromes (1999)","id":"ITEM-2","issue":"1","issued":{"date-parts":[["2006","9"]]},"language":"eng","page":"27-34","publisher-place":"United States","title":"Mortality in the highly active antiretroviral therapy era: changing causes of  death and disease in the HIV outpatient study.","type":"article-journal","volume":"43"},"uris":["http://www.mendeley.com/documents/?uuid=514dfaa3-0fd2-4bb4-aee9-463f9a6aa9cb"]},{"id":"ITEM-3","itemData":{"DOI":"10.1186/1742-6405-10-29","ISSN":"1742-6405","abstract":"Despite the major advances in the management of HIV infection, HIV-infected patients still have greater morbidity and mortality than the general population. Serious non-AIDS events (SNAEs), including non-AIDS malignancies, cardiovascular events, renal and hepatic disease, bone disorders and neurocognitive impairment, have become the major causes of morbidity and mortality in the antiretroviral therapy (ART) era. SNAEs occur at the rate of 1 to 2 per 100 person-years of follow-up. The pathogenesis of SNAEs is multifactorial and includes the direct effect of HIV and associated immunodeficiency, underlying co-infections and co-morbidities, immune activation with associated inflammation and coagulopathy as well as ART toxicities. A number of novel strategies such as ART intensification, treatment of co-infection, the use of anti-inflammatory drugs and agents that reduce microbial translocation are currently being examined for their potential effects in reducing immune activation and SNAEs. However, currently, initiation of ART before advanced immunodeficiency, smoking cessation, optimisation of cardiovascular risk factors and treatment of HCV infection are most strongly linked with reduced risk of SNAEs or mortality. Clinicians should therefore focus their attention on addressing these issues prior to the availability of further data.","author":[{"dropping-particle":"","family":"Hsu","given":"Denise C","non-dropping-particle":"","parse-names":false,"suffix":""},{"dropping-particle":"","family":"Sereti","given":"Irini","non-dropping-particle":"","parse-names":false,"suffix":""},{"dropping-particle":"","family":"Ananworanich","given":"Jintanat","non-dropping-particle":"","parse-names":false,"suffix":""}],"container-title":"AIDS Research and Therapy","id":"ITEM-3","issue":"1","issued":{"date-parts":[["2013"]]},"page":"29","title":"Serious Non-AIDS events: Immunopathogenesis and interventional strategies","type":"article-journal","volume":"10"},"uris":["http://www.mendeley.com/documents/?uuid=b833cde1-0c2d-4ce6-89a4-a1b582014c33"]}],"mendeley":{"formattedCitation":"[6–8]","plainTextFormattedCitation":"[6–8]","previouslyFormattedCitation":"[6–8]"},"properties":{"noteIndex":0},"schema":"https://github.com/citation-style-language/schema/raw/master/csl-citation.json"}</w:instrText>
      </w:r>
      <w:r w:rsidR="004268A2" w:rsidRPr="00370C25">
        <w:rPr>
          <w:rStyle w:val="Rimandonotaapidipagina"/>
          <w:sz w:val="21"/>
          <w:szCs w:val="21"/>
        </w:rPr>
        <w:fldChar w:fldCharType="separate"/>
      </w:r>
      <w:r w:rsidR="000945B8" w:rsidRPr="00370C25">
        <w:rPr>
          <w:bCs/>
          <w:noProof/>
          <w:sz w:val="21"/>
          <w:szCs w:val="21"/>
        </w:rPr>
        <w:t>[6–8]</w:t>
      </w:r>
      <w:r w:rsidR="004268A2" w:rsidRPr="00370C25">
        <w:rPr>
          <w:rStyle w:val="Rimandonotaapidipagina"/>
          <w:sz w:val="21"/>
          <w:szCs w:val="21"/>
        </w:rPr>
        <w:fldChar w:fldCharType="end"/>
      </w:r>
      <w:r w:rsidR="00463667" w:rsidRPr="00370C25">
        <w:rPr>
          <w:sz w:val="21"/>
          <w:szCs w:val="21"/>
        </w:rPr>
        <w:t xml:space="preserve">. Several studies have shown that the </w:t>
      </w:r>
      <w:r w:rsidR="008F4350" w:rsidRPr="00370C25">
        <w:rPr>
          <w:sz w:val="21"/>
          <w:szCs w:val="21"/>
        </w:rPr>
        <w:t>pre-treatment virological and immunological status – defined by HIV-RNA/DNA levels and blood nadir CD4</w:t>
      </w:r>
      <w:r w:rsidR="008F4350" w:rsidRPr="00370C25">
        <w:rPr>
          <w:sz w:val="21"/>
          <w:szCs w:val="21"/>
          <w:vertAlign w:val="superscript"/>
        </w:rPr>
        <w:t>+</w:t>
      </w:r>
      <w:r w:rsidR="008F4350" w:rsidRPr="00370C25">
        <w:rPr>
          <w:sz w:val="21"/>
          <w:szCs w:val="21"/>
        </w:rPr>
        <w:t xml:space="preserve"> T cell count - influences </w:t>
      </w:r>
      <w:r w:rsidR="006317A4" w:rsidRPr="00370C25">
        <w:rPr>
          <w:sz w:val="21"/>
          <w:szCs w:val="21"/>
        </w:rPr>
        <w:t xml:space="preserve">long-term </w:t>
      </w:r>
      <w:r w:rsidR="008F4350" w:rsidRPr="00370C25">
        <w:rPr>
          <w:sz w:val="21"/>
          <w:szCs w:val="21"/>
        </w:rPr>
        <w:t xml:space="preserve">health </w:t>
      </w:r>
      <w:r w:rsidR="006317A4" w:rsidRPr="00370C25">
        <w:rPr>
          <w:sz w:val="21"/>
          <w:szCs w:val="21"/>
        </w:rPr>
        <w:t>outcomes in</w:t>
      </w:r>
      <w:r w:rsidR="00463667" w:rsidRPr="00370C25">
        <w:rPr>
          <w:sz w:val="21"/>
          <w:szCs w:val="21"/>
        </w:rPr>
        <w:t xml:space="preserve"> PLWH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{"citationItems":[{"id":"ITEM-1","itemData":{"DOI":"10.1001/jama.286.20.2568","ISSN":"0098-7484 (Print)","PMID":"11722271","abstract":"CONTEXT: Current recommendations for initiation of antiretroviral therapy in  patients infected with human immunodeficiency virus type 1 (HIV) are based on CD4 T-lymphocyte cell counts and plasma HIV RNA levels. The relative prognostic value of each marker following initiation of therapy has not been fully characterized. OBJECTIVE: To describe rates of disease progression to death and AIDS or death among patients starting triple-drug antiretroviral therapy, stratified by baseline CD4 cell count and HIV RNA levels. DESIGN, SETTING, AND PARTICIPANTS: Population-based analysis of 1219 antiretroviral therapy-naive HIV-positive men and women aged 18 years or older in British Columbia who initiated triple-drug therapy between August 1, 1996, and September 30, 1999. MAIN OUTCOME MEASURE: Cumulative mortality rates from the initiation of triple-drug antiretroviral therapy to September 30, 2000, determined using various CD4 cell and plasma HIV RNA thresholds. RESULTS: As of September 30, 2000, 82 patients had died of AIDS-related causes, for a crude AIDS-related mortality rate of 6.7%. The product limit estimate (SE) of the cumulative mortality rate at 12 months was 2.9% (0.5%). In univariate analyses, a prior diagnosis of acquired immunodeficiency syndrome (AIDS), CD4 cell count, use of protease inhibitors, and HIV RNA level were associated with mortality. There was no difference in mortality by age or sex. Only CD4 cell count remained statistically significant in the multivariate analysis. After controlling for AIDS, protease inhibitor use, and plasma HIV RNA level at baseline, patients with CD4 cell counts of less than 50/microL were 6.67 (95% confidence interval [CI], 3.61-12.34) times and those with counts of 50/microL to 199/microL were 3.41 (95% CI, 1.93-6.03) times more likely to die than those with counts of at least 200/microL. CONCLUSION: Our data demonstrate uniformly low rates of disease progression to death and AIDS or death among patients starting antiretroviral therapy with CD4 cell counts of at least 200/microL. In our study, disease progression to death and AIDS or death was clustered among patients starting therapy with CD4 cell counts less than 200/microL.","author":[{"dropping-particle":"","family":"Hogg","given":"R S","non-dropping-particle":"","parse-names":false,"suffix":""},{"dropping-particle":"","family":"Yip","given":"B","non-dropping-particle":"","parse-names":false,"suffix":""},{"dropping-particle":"","family":"Chan","given":"K J","non-dropping-particle":"","parse-names":false,"suffix":""},{"dropping-particle":"","family":"Wood","given":"E","non-dropping-particle":"","parse-names":false,"suffix":""},{"dropping-particle":"","family":"Craib","given":"K J","non-dropping-particle":"","parse-names":false,"suffix":""},{"dropping-particle":"V","family":"O'Shaughnessy","given":"M","non-dropping-particle":"","parse-names":false,"suffix":""},{"dropping-particle":"","family":"Montaner","given":"J S","non-dropping-particle":"","parse-names":false,"suffix":""}],"container-title":"JAMA","id":"ITEM-1","issue":"20","issued":{"date-parts":[["2001","11"]]},"language":"eng","page":"2568-2577","publisher-place":"United States","title":"Rates of disease progression by baseline CD4 cell count and viral load after  initiating triple-drug therapy.","type":"article-journal","volume":"286"},"uris":["http://www.mendeley.com/documents/?uuid=9bcd14e9-e367-4ef8-9ec1-980eda258251","http://www.mendeley.com/documents/?uuid=debd93ad-4a2b-4068-a79d-2e5a906427f4"]},{"id":"ITEM-2","itemData":{"DOI":"10.3390/microorganisms11061510","ISBN":"2076-2607","abstract":"Background: HIV DNA mirrors the number of infected cells and the size of the HIV viral reservoir. The aim of this study was to evaluate the effect of pre-cART HIV DNA levels as a predictive marker of immune reconstitution and on the post-cART CD4 counts trends. Methods: HIV DNA was isolated from PBMCs and quantified by real-time PCR. Immune reconstitution was assessed up to four years. Piecewise-linear mixed models were used to describe CD4 count changes. Results: 148 people living with HIV (PLWH) were included. The highest rate of immune reconstitution was observed during the first trimester. There was a trend showing that high HIV RNA level resulted in greater increase in CD4 count, especially during the first trimester of cART (difference above vs. below median 15.1 cells/μL/month; 95% CI −1.4–31.5; p = 0.073). Likewise, higher HIV DNA level would predict greater CD4 increases, especially after the first trimester (difference above vs. below median 1.2 cells/μL/month; 95% CI −0.1–2.6; p = 0.071). Higher DNA and RNA levels combined were significantly associated with greater CD4 increase past the first trimester (difference high/high vs. low/low 2.1 cells/μL/month; 95% CI 0.3–4.0; p = 0.024). In multivariable analysis, lower baseline CD4 counts predicted a greater CD4 rise. Conclusions: In successfully treated PLWH, pre-cART HIV DNA and HIV RNA levels are predictors of immune reconstitution.","author":[{"dropping-particle":"","family":"Basoulis","given":"Dimitrios","non-dropping-particle":"","parse-names":false,"suffix":""},{"dropping-particle":"","family":"Pantazis","given":"Nikos","non-dropping-particle":"","parse-names":false,"suffix":""},{"dropping-particle":"","family":"Paraskevis","given":"Dimitrios","non-dropping-particle":"","parse-names":false,"suffix":""},{"dropping-particle":"","family":"Iliopoulos","given":"Panos","non-dropping-particle":"","parse-names":false,"suffix":""},{"dropping-particle":"","family":"Papadopoulou","given":"Martha","non-dropping-particle":"","parse-names":false,"suffix":""},{"dropping-particle":"","family":"Akinosoglou","given":"Karolina","non-dropping-particle":"","parse-names":false,"suffix":""},{"dropping-particle":"","family":"Hatzakis","given":"Angelos","non-dropping-particle":"","parse-names":false,"suffix":""},{"dropping-particle":"","family":"Daikos","given":"George L","non-dropping-particle":"","parse-names":false,"suffix":""},{"dropping-particle":"","family":"Psichogiou","given":"Mina","non-dropping-particle":"","parse-names":false,"suffix":""}],"container-title":"Microorganisms","id":"ITEM-2","issue":"6","issued":{"date-parts":[["2023"]]},"title":"HIV RNA/DNA Levels at Diagnosis Can Predict Immune Reconstitution: A Longitudinal Analysis","type":"article","volume":"11"},"uris":["http://www.mendeley.com/documents/?uuid=374247d3-7686-4cd8-8b06-2f996a522963","http://www.mendeley.com/documents/?uuid=c4452dad-fb26-4ffd-b16c-51dc4bf6cb10"]},{"id":"ITEM-3","itemData":{"DOI":"10.1016/s0140-6736(02)09411-4","ISSN":"0140-6736 (Print)","PMID":"12126821","abstract":"BACKGROUND: Insufficient data are available from single cohort studies to allow  estimation of the prognosis of HIV-1 infected, treatment-naive patients who start highly active antiretroviral therapy (HAART). The ART Cohort Collaboration, which includes 13 cohort studies from Europe and North America, was established to fill this knowledge gap. METHODS: We analysed data on 12,574 adult patients starting HAART with a combination of at least three drugs. Data were analysed by intention-to-continue-treatment, ignoring treatment changes and interruptions. We considered progression to a combined endpoint of a new AIDS-defining disease or death, and to death alone. The prognostic model that generalised best was a Weibull model, stratified by baseline CD4 cell count and transmission group. FINDINGS During 24,310 person-years of follow up, 1094 patients developed AIDS or died and 344 patients died. Baseline CD4 cell count was strongly associated with the probability of progression to AIDS or death: compared with patients starting HAART with less than 50 CD4 cells/microL, adjusted hazard ratios were 0.74 (95% CI 0.62-0.89) for 50-99 cells/microL, 0.52 (0.44-0.63) for 100-199 cells/microL, 0.24 (0.20-0.30) for 200-349 cells/microL, and 0.18 (0.14-0.22) for 350 or more CD4 cells/microL. Baseline HIV-1 viral load was associated with a higher probability of progression only if 100,000 copies/microL or above. Other independent predictors of poorer outcome were advanced age, infection through injection-drug use, and a previous diagnosis of AIDS. The probability of progression to AIDS or death at 3 years ranged from 3.4% (2.8-4.1) in patients in the lowest-risk stratum for each prognostic variable, to 50% (43-58) in patients in the highest-risk strata. INTERPRETATION: The CD4 cell count at initiation was the dominant prognostic factor in patients starting HAART. Our findings have important implications for clinical management and should be taken into account in future treatment guidelines.","author":[{"dropping-particle":"","family":"Egger","given":"Matthias","non-dropping-particle":"","parse-names":false,"suffix":""},{"dropping-particle":"","family":"May","given":"Margaret","non-dropping-particle":"","parse-names":false,"suffix":""},{"dropping-particle":"","family":"Chêne","given":"Geneviève","non-dropping-particle":"","parse-names":false,"suffix":""},{"dropping-particle":"","family":"Phillips","given":"Andrew N","non-dropping-particle":"","parse-names":false,"suffix":""},{"dropping-particle":"","family":"Ledergerber","given":"Bruno","non-dropping-particle":"","parse-names":false,"suffix":""},{"dropping-particle":"","family":"Dabis","given":"François","non-dropping-particle":"","parse-names":false,"suffix":""},{"dropping-particle":"","family":"Costagliola","given":"Dominique","non-dropping-particle":"","parse-names":false,"suffix":""},{"dropping-particle":"","family":"D'Arminio Monforte","given":"Antonella","non-dropping-particle":"","parse-names":false,"suffix":""},{"dropping-particle":"","family":"Wolf","given":"Frank","non-dropping-particle":"de","parse-names":false,"suffix":""},{"dropping-particle":"","family":"Reiss","given":"Peter","non-dropping-particle":"","parse-names":false,"suffix":""},{"dropping-particle":"","family":"Lundgren","given":"Jens D","non-dropping-particle":"","parse-names":false,"suffix":""},{"dropping-particle":"","family":"Justice","given":"Amy C","non-dropping-particle":"","parse-names":false,"suffix":""},{"dropping-particle":"","family":"Staszewski","given":"Schlomo","non-dropping-particle":"","parse-names":false,"suffix":""},{"dropping-particle":"","family":"Leport","given":"Catherine","non-dropping-particle":"","parse-names":false,"suffix":""},{"dropping-particle":"","family":"Hogg","given":"Robert S","non-dropping-particle":"","parse-names":false,"suffix":""},{"dropping-particle":"","family":"Sabin","given":"Caroline A","non-dropping-particle":"","parse-names":false,"suffix":""},{"dropping-particle":"","family":"Gill","given":"M John","non-dropping-particle":"","parse-names":false,"suffix":""},{"dropping-particle":"","family":"Salzberger","given":"Bernd","non-dropping-particle":"","parse-names":false,"suffix":""},{"dropping-particle":"","family":"Sterne","given":"Jonathan A C","non-dropping-particle":"","parse-names":false,"suffix":""}],"container-title":"Lancet (London, England)","id":"ITEM-3","issue":"9327","issued":{"date-parts":[["2002","7"]]},"language":"eng","page":"119-129","publisher-place":"England","title":"Prognosis of HIV-1-infected patients starting highly active antiretroviral  therapy: a collaborative analysis of prospective studies.","type":"article-journal","volume":"360"},"uris":["http://www.mendeley.com/documents/?uuid=9b15ee49-1fb1-4265-aff5-e5318fe564e2","http://www.mendeley.com/documents/?uuid=0e0745f8-e732-4b22-a790-45850fd3b3bd"]},{"id":"ITEM-4","itemData":{"DOI":"10.1097/01.qai.0000233310.90484.16","ISSN":"1525-4135 (Print)","PMID":"16878047","abstract":"BACKGROUND: AIDS-related death and disease rates have declined in the highly  active antiretroviral therapy (HAART) era and remain low; however, current causes of death in HAART-treated patients remain ill defined. OBJECTIVE: To describe mortality trends and causes of death among HIV-infected patients in the HAART era. DESIGN: Prospective, multicenter, observational cohort study of participants in the HIV Outpatient Study who were treated from January 1996 through December 2004. MEASUREMENTS: Rates of death, opportunistic disease, and other non-AIDS-defining illnesses (NADIs) determined to be primary or secondary causes of death. RESULTS: Among 6945 HIV-infected patients followed for a median of 39.2 months, death rates fell from 7.0 deaths/100 person-years of observation in 1996 to 1.3 deaths/100 person-years in 2004 (P=0.008 for trend). Deaths that included AIDS-related causes decreased from 3.79/100 person-years in 1996 to 0.32/100 person-years in 2004 (P=0.008). Proportional increases in deaths involving liver disease, bacteremia/sepsis, gastrointestinal disease, non-AIDS malignancies, and renal disease also occurred (P=or&lt;0.001, 0.017, 0.006, &lt;0.001, and 0.037, respectively.) Hepatic disease was the only reported cause of death for which absolute rates increased over time, albeit not significantly, from 0.09/100 person-years in 1996 to 0.16/100 person-years in 2004 (P=0.10). The percentage of deaths due exclusively to NADI rose from 13.1% in 1996 to 42.5% in 2004 (P&lt;0.001 for trend), the most frequent of which were cardiovascular, hepatic, and pulmonary disease, and non-AIDS malignancies in 2004. Mean CD4 cell counts closest to death (n=486 deaths) increased from 59 cells/microL in 1996 to 287 cells/microL in 2004 (P&lt;0.001 for trend). Patients dying of NADI causes were more HAART experienced and initiated HAART at higher CD4 cell counts than those who died with AIDS (34.5% vs 16.8%, respectively, received HAART for 4 of more years, P&lt;0.0001; 22.4% vs 7.8%, respectively, initiated HAART with CD4 cell counts of more than 350 cells/microL, P&lt;0.001). CONCLUSIONS: Although overall death rates remained low through 2004, the proportion of deaths attributable to non-AIDS diseases increased and prominently included hepatic, cardiovascular, and pulmonary diseases, as well as non-AIDS malignancies. Longer time spent receiving HAART and higher CD4 cell counts at HAART initiation were associated with death from non-AIDS causes. CD4 cell count at time of death i…","author":[{"dropping-particle":"","family":"Palella","given":"Frank J Jr","non-dropping-particle":"","parse-names":false,"suffix":""},{"dropping-particle":"","family":"Baker","given":"Rose K","non-dropping-particle":"","parse-names":false,"suffix":""},{"dropping-particle":"","family":"Moorman","given":"Anne C","non-dropping-particle":"","parse-names":false,"suffix":""},{"dropping-particle":"","family":"Chmiel","given":"Joan S","non-dropping-particle":"","parse-names":false,"suffix":""},{"dropping-particle":"","family":"Wood","given":"Kathleen C","non-dropping-particle":"","parse-names":false,"suffix":""},{"dropping-particle":"","family":"Brooks","given":"John T","non-dropping-particle":"","parse-names":false,"suffix":""},{"dropping-particle":"","family":"Holmberg","given":"Scott D","non-dropping-particle":"","parse-names":false,"suffix":""}],"container-title":"Journal of acquired immune deficiency syndromes (1999)","id":"ITEM-4","issue":"1","issued":{"date-parts":[["2006","9"]]},"language":"eng","page":"27-34","publisher-place":"United States","title":"Mortality in the highly active antiretroviral therapy era: changing causes of  death and disease in the HIV outpatient study.","type":"article-journal","volume":"43"},"uris":["http://www.mendeley.com/documents/?uuid=751a9be9-85a2-441e-9d91-8e04418ffac6","http://www.mendeley.com/documents/?uuid=514dfaa3-0fd2-4bb4-aee9-463f9a6aa9cb"]}],"mendeley":{"formattedCitation":"[7,9–11]","plainTextFormattedCitation":"[7,9–11]","previouslyFormattedCitation":"[7,9–11]"},"properties":{"noteIndex":0},"schema":"https://github.com/citation-style-language/schema/raw/master/csl-citation.json"}</w:instrText>
      </w:r>
      <w:r w:rsidR="004268A2" w:rsidRPr="00370C25">
        <w:rPr>
          <w:rStyle w:val="Rimandonotaapidipagina"/>
          <w:sz w:val="21"/>
          <w:szCs w:val="21"/>
        </w:rPr>
        <w:fldChar w:fldCharType="separate"/>
      </w:r>
      <w:r w:rsidR="000945B8" w:rsidRPr="00370C25">
        <w:rPr>
          <w:noProof/>
          <w:sz w:val="21"/>
          <w:szCs w:val="21"/>
        </w:rPr>
        <w:t>[7,9–11]</w:t>
      </w:r>
      <w:r w:rsidR="004268A2" w:rsidRPr="00370C25">
        <w:rPr>
          <w:rStyle w:val="Rimandonotaapidipagina"/>
          <w:sz w:val="21"/>
          <w:szCs w:val="21"/>
        </w:rPr>
        <w:fldChar w:fldCharType="end"/>
      </w:r>
      <w:r w:rsidR="00463667" w:rsidRPr="00370C25">
        <w:rPr>
          <w:sz w:val="21"/>
          <w:szCs w:val="21"/>
        </w:rPr>
        <w:t xml:space="preserve">. For these reasons, early initiation of ART is essential in reducing SNAEs and mortality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{"citationItems":[{"id":"ITEM-1","itemData":{"DOI":"10.1007/s40265-016-0546-7","ISSN":"1179-1950 (Electronic)","PMID":"26915027","abstract":"In the antiretroviral therapy (ART) era, serious non-AIDS events (SNAEs) have  become the major causes of morbidity and mortality in HIV-infected persons. Early ART initiation has the strongest evidence for reducing SNAEs and mortality. Biomarkers of immune activation, inflammation and coagulopathy do not fully normalize despite virologic suppression and persistent immune activation is an important contributor to SNAEs. A number of strategies aimed to reduce persistent immune activation including ART intensification to reduce residual viremia; treatment of co-infections to reduce chronic antigen stimulation; the use of anti-inflammatory agents, reducing microbial translocation as well as interventions to improve immune recovery through cytokine administration and reducing lymphoid tissue fibrosis, have been investigated. To date, there is little conclusive evidence on which strategies beyond treatment of hepatitis B and C co-infections and reducing cardiovascular risk factors will result in clinical benefits in patients already on ART with viral suppression. The use of statins seems to show early promise and larger clinical trials are underway to confirm their efficacy. At this stage, clinical care of HIV-infected patients should therefore focus on early diagnosis and prompt ART initiation, treatment of active co-infections and the aggressive management of co-morbidities until further data are available.","author":[{"dropping-particle":"","family":"Hsu","given":"Denise C","non-dropping-particle":"","parse-names":false,"suffix":""},{"dropping-particle":"","family":"Sereti","given":"Irini","non-dropping-particle":"","parse-names":false,"suffix":""}],"container-title":"Drugs","id":"ITEM-1","issue":"5","issued":{"date-parts":[["2016","4"]]},"language":"eng","page":"533-549","publisher-place":"New Zealand","title":"Serious Non-AIDS Events: Therapeutic Targets of Immune Activation and Chronic  Inflammation in HIV Infection.","type":"article-journal","volume":"76"},"uris":["http://www.mendeley.com/documents/?uuid=2c6f8175-39ed-4484-a1a0-9c5b3ac8f6d2"]},{"id":"ITEM-2","itemData":{"DOI":"10.1056/NEJMoa1506816","ISSN":"1533-4406 (Electronic)","PMID":"26192873","abstract":"BACKGROUND: Data from randomized trials are lacking on the benefits and risks of  initiating antiretroviral therapy in patients with asymptomatic human immunodeficiency virus (HIV) infection who have a CD4+ count of more than 350 cells per cubic millimeter. METHODS: We randomly assigned HIV-positive adults who had a CD4+ count of more than 500 cells per cubic millimeter to start antiretroviral therapy immediately (immediate-initiation group) or to defer it until the CD4+ count decreased to 350 cells per cubic millimeter or until the development of the acquired immunodeficiency syndrome (AIDS) or another condition that dictated the use of antiretroviral therapy (deferred-initiation group). The primary composite end point was any serious AIDS-related event, serious non-AIDS-related event, or death from any cause. RESULTS: A total of 4685 patients were followed for a mean of 3.0 years. At study entry, the median HIV viral load was 12,759 copies per milliliter, and the median CD4+ count was 651 cells per cubic millimeter. On May 15, 2015, on the basis of an interim analysis, the data and safety monitoring board determined that the study question had been answered and recommended that patients in the deferred-initiation group be offered antiretroviral therapy. The primary end point occurred in 42 patients in the immediate-initiation group (1.8%; 0.60 events per 100 person-years), as compared with 96 patients in the deferred-initiation group (4.1%; 1.38 events per 100 person-years), for a hazard ratio of 0.43 (95% confidence interval [CI], 0.30 to 0.62; P&lt;0.001). Hazard ratios for serious AIDS-related and serious non-AIDS-related events were 0.28 (95% CI, 0.15 to 0.50; P&lt;0.001) and 0.61 (95% CI, 0.38 to 0.97; P=0.04), respectively. More than two thirds of the primary end points (68%) occurred in patients with a CD4+ count of more than 500 cells per cubic millimeter. The risks of a grade 4 event were similar in the two groups, as were the risks of unscheduled hospital admissions. CONCLUSIONS: The initiation of antiretroviral therapy in HIV-positive adults with a CD4+ count of more than 500 cells per cubic millimeter provided net benefits over starting such therapy in patients after the CD4+ count had declined to 350 cells per cubic millimeter. (Funded by the National Institute of Allergy and Infectious Diseases and others; START ClinicalTrials.gov number, NCT00867048.).","author":[{"dropping-particle":"","family":"Lundgren","given":"Jens D","non-dropping-particle":"","parse-names":false,"suffix":""},{"dropping-particle":"","family":"Babiker","given":"Abdel G","non-dropping-particle":"","parse-names":false,"suffix":""},{"dropping-particle":"","family":"Gordin","given":"Fred","non-dropping-particle":"","parse-names":false,"suffix":""},{"dropping-particle":"","family":"Emery","given":"Sean","non-dropping-particle":"","parse-names":false,"suffix":""},{"dropping-particle":"","family":"Grund","given":"Birgit","non-dropping-particle":"","parse-names":false,"suffix":""},{"dropping-particle":"","family":"Sharma","given":"Shweta","non-dropping-particle":"","parse-names":false,"suffix":""},{"dropping-particle":"","family":"Avihingsanon","given":"Anchalee","non-dropping-particle":"","parse-names":false,"suffix":""},{"dropping-particle":"","family":"Cooper","given":"David A","non-dropping-particle":"","parse-names":false,"suffix":""},{"dropping-particle":"","family":"Fätkenheuer","given":"Gerd","non-dropping-particle":"","parse-names":false,"suffix":""},{"dropping-particle":"","family":"Llibre","given":"Josep M","non-dropping-particle":"","parse-names":false,"suffix":""},{"dropping-particle":"","family":"Molina","given":"Jean-Michel","non-dropping-particle":"","parse-names":false,"suffix":""},{"dropping-particle":"","family":"Munderi","given":"Paula","non-dropping-particle":"","parse-names":false,"suffix":""},{"dropping-particle":"","family":"Schechter","given":"Mauro","non-dropping-particle":"","parse-names":false,"suffix":""},{"dropping-particle":"","family":"Wood","given":"Robin","non-dropping-particle":"","parse-names":false,"suffix":""},{"dropping-particle":"","family":"Klingman","given":"Karin L","non-dropping-particle":"","parse-names":false,"suffix":""},{"dropping-particle":"","family":"Collins","given":"Simon","non-dropping-particle":"","parse-names":false,"suffix":""},{"dropping-particle":"","family":"Lane","given":"H Clifford","non-dropping-particle":"","parse-names":false,"suffix":""},{"dropping-particle":"","family":"Phillips","given":"Andrew N","non-dropping-particle":"","parse-names":false,"suffix":""},{"dropping-particle":"","family":"Neaton","given":"James D","non-dropping-particle":"","parse-names":false,"suffix":""}],"container-title":"The New England journal of medicine","id":"ITEM-2","issue":"9","issued":{"date-parts":[["2015","8"]]},"language":"eng","page":"795-807","publisher-place":"United States","title":"Initiation of Antiretroviral Therapy in Early Asymptomatic HIV Infection.","type":"article-journal","volume":"373"},"uris":["http://www.mendeley.com/documents/?uuid=02a9c8c5-5463-4cdc-9e1a-11a559fa1df9"]}],"mendeley":{"formattedCitation":"[6,12]","plainTextFormattedCitation":"[6,12]","previouslyFormattedCitation":"[6,12]"},"properties":{"noteIndex":0},"schema":"https://github.com/citation-style-language/schema/raw/master/csl-citation.json"}</w:instrText>
      </w:r>
      <w:r w:rsidR="004268A2" w:rsidRPr="00370C25">
        <w:rPr>
          <w:rStyle w:val="Rimandonotaapidipagina"/>
          <w:sz w:val="21"/>
          <w:szCs w:val="21"/>
        </w:rPr>
        <w:fldChar w:fldCharType="separate"/>
      </w:r>
      <w:r w:rsidR="000945B8" w:rsidRPr="00370C25">
        <w:rPr>
          <w:noProof/>
          <w:sz w:val="21"/>
          <w:szCs w:val="21"/>
        </w:rPr>
        <w:t>[6,12]</w:t>
      </w:r>
      <w:r w:rsidR="004268A2" w:rsidRPr="00370C25">
        <w:rPr>
          <w:rStyle w:val="Rimandonotaapidipagina"/>
          <w:sz w:val="21"/>
          <w:szCs w:val="21"/>
        </w:rPr>
        <w:fldChar w:fldCharType="end"/>
      </w:r>
      <w:r w:rsidR="00463667" w:rsidRPr="00370C25">
        <w:rPr>
          <w:sz w:val="21"/>
          <w:szCs w:val="21"/>
        </w:rPr>
        <w:t xml:space="preserve">. Among these various complications associated with chronic HIV infection, neurological and neurocognitive changes continue to affect a significant proportion of PLWH. Although there is growing knowledge and understanding of HIV-associated neurocognitive disorders (HAND), there are still no definitive markers to predict these conditions and no specific treatments are available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{"citationItems":[{"id":"ITEM-1","itemData":{"DOI":"10.1038/nrneurol.2016.27","ISSN":"1759-4766 (Electronic)","PMID":"26965674","abstract":"In the past two decades, several advancements have improved the care of  HIV-infected individuals. Most importantly, the development and deployment of combination antiretroviral therapy (CART) has resulted in a dramatic decline in the rate of deaths from AIDS, so that people living with HIV today have nearly normal life expectancies if treated with CART. The term HIV-associated neurocognitive disorder (HAND) has been used to describe the spectrum of neurocognitive dysfunction associated with HIV infection. HIV can enter the CNS during early stages of infection, and persistent CNS HIV infection and inflammation probably contribute to the development of HAND. The brain can subsequently serve as a sanctuary for ongoing HIV replication, even when systemic viral suppression has been achieved. HAND can remain in patients treated with CART, and its effects on survival, quality of life and everyday functioning make it an important unresolved issue. In this Review, we describe the epidemiology of HAND, the evolving concepts of its neuropathogenesis, novel insights from animal models, and new approaches to treatment. We also discuss how inflammation is sustained in chronic HIV infection. Moreover, we suggest that adjunctive therapies--treatments targeting CNS inflammation and other metabolic processes, including glutamate homeostasis, lipid and energy metabolism--are needed to reverse or improve HAND-related neurological dysfunction.","author":[{"dropping-particle":"","family":"Saylor","given":"Deanna","non-dropping-particle":"","parse-names":false,"suffix":""},{"dropping-particle":"","family":"Dickens","given":"Alex M","non-dropping-particle":"","parse-names":false,"suffix":""},{"dropping-particle":"","family":"Sacktor","given":"Ned","non-dropping-particle":"","parse-names":false,"suffix":""},{"dropping-particle":"","family":"Haughey","given":"Norman","non-dropping-particle":"","parse-names":false,"suffix":""},{"dropping-particle":"","family":"Slusher","given":"Barbara","non-dropping-particle":"","parse-names":false,"suffix":""},{"dropping-particle":"","family":"Pletnikov","given":"Mikhail","non-dropping-particle":"","parse-names":false,"suffix":""},{"dropping-particle":"","family":"Mankowski","given":"Joseph L","non-dropping-particle":"","parse-names":false,"suffix":""},{"dropping-particle":"","family":"Brown","given":"Amanda","non-dropping-particle":"","parse-names":false,"suffix":""},{"dropping-particle":"","family":"Volsky","given":"David J","non-dropping-particle":"","parse-names":false,"suffix":""},{"dropping-particle":"","family":"McArthur","given":"Justin C","non-dropping-particle":"","parse-names":false,"suffix":""}],"container-title":"Nature reviews. Neurology","id":"ITEM-1","issue":"4","issued":{"date-parts":[["2016","4"]]},"language":"eng","page":"234-248","publisher-place":"England","title":"HIV-associated neurocognitive disorder--pathogenesis and prospects for treatment.","type":"article-journal","volume":"12"},"uris":["http://www.mendeley.com/documents/?uuid=a094af78-ba41-44fe-a5a4-b951925f435e"]},{"id":"ITEM-2","itemData":{"DOI":"10.1212/01.WNL.0000287431.88658.8b","abstract":"In 1991, the AIDS Task Force of the American Academy of Neurology published nomenclature and research case definitions to guide the diagnosis of neurologic manifestations of HIV-1 infection. Now, 16 years later, the National Institute of Mental Health and the National Institute of Neurological Diseases and Stroke have charged a working group to critically review the adequacy and utility of these definitional criteria and to identify aspects that require updating. This report represents a majority view, and unanimity was not reached on all points. It reviews our collective experience with HIV-associated neurocognitive disorders (HAND), particularly since the advent of highly active antiretroviral treatment, and their definitional criteria; discusses the impact of comorbidities; and suggests inclusion of the term asymptomatic neurocognitive impairment to categorize individuals with subclinical impairment. An algorithm is proposed to assist in standardized diagnostic classification of HAND. GLOSSARY:  AAN = American Academy of Neurology; ADLs = activities of daily living; ANI = asymptomatic neurocognitive impairment; HAART = highly active antiretroviral treatment; HAD = HIV-associated dementia; HAND = HIV-associated neurocognitive disorders; HNRC = HIV Neurobehavioral Research Center; IADLs = instrumental ADLs; MCMD = minor cognitive motor disorder; MND = HIV-associated mild neurocognitive disorder; MSE = mental status examination.","author":[{"dropping-particle":"","family":"Antinori","given":"A","non-dropping-particle":"","parse-names":false,"suffix":""},{"dropping-particle":"","family":"Arendt","given":"G","non-dropping-particle":"","parse-names":false,"suffix":""},{"dropping-particle":"","family":"Becker","given":"J T","non-dropping-particle":"","parse-names":false,"suffix":""},{"dropping-particle":"","family":"Brew","given":"B J","non-dropping-particle":"","parse-names":false,"suffix":""},{"dropping-particle":"","family":"Byrd","given":"D A","non-dropping-particle":"","parse-names":false,"suffix":""},{"dropping-particle":"","family":"Cherner","given":"M","non-dropping-particle":"","parse-names":false,"suffix":""},{"dropping-particle":"","family":"Clifford","given":"D B","non-dropping-particle":"","parse-names":false,"suffix":""},{"dropping-particle":"","family":"Cinque","given":"P","non-dropping-particle":"","parse-names":false,"suffix":""},{"dropping-particle":"","family":"Epstein","given":"L G","non-dropping-particle":"","parse-names":false,"suffix":""},{"dropping-particle":"","family":"Goodkin","given":"K","non-dropping-particle":"","parse-names":false,"suffix":""},{"dropping-particle":"","family":"Gisslen","given":"M","non-dropping-particle":"","parse-names":false,"suffix":""},{"dropping-particle":"","family":"Grant","given":"I","non-dropping-particle":"","parse-names":false,"suffix":""},{"dropping-particle":"","family":"Heaton","given":"R K","non-dropping-particle":"","parse-names":false,"suffix":""},{"dropping-particle":"","family":"Joseph","given":"J","non-dropping-particle":"","parse-names":false,"suffix":""},{"dropping-particle":"","family":"Marder","given":"K","non-dropping-particle":"","parse-names":false,"suffix":""},{"dropping-particle":"","family":"Marra","given":"C M","non-dropping-particle":"","parse-names":false,"suffix":""},{"dropping-particle":"","family":"McArthur","given":"J C","non-dropping-particle":"","parse-names":false,"suffix":""},{"dropping-particle":"","family":"Nunn","given":"M","non-dropping-particle":"","parse-names":false,"suffix":""},{"dropping-particle":"","family":"Price","given":"R W","non-dropping-particle":"","parse-names":false,"suffix":""},{"dropping-particle":"","family":"Pulliam","given":"L","non-dropping-particle":"","parse-names":false,"suffix":""},{"dropping-particle":"","family":"Robertson","given":"K R","non-dropping-particle":"","parse-names":false,"suffix":""},{"dropping-particle":"","family":"Sacktor","given":"N","non-dropping-particle":"","parse-names":false,"suffix":""},{"dropping-particle":"","family":"Valcour","given":"V","non-dropping-particle":"","parse-names":false,"suffix":""},{"dropping-particle":"","family":"Wojna","given":"V E","non-dropping-particle":"","parse-names":false,"suffix":""}],"container-title":"Neurology","id":"ITEM-2","issue":"18","issued":{"date-parts":[["2007","10","30"]]},"note":"doi: 10.1212/01.WNL.0000287431.88658.8b","page":"1789-1799","publisher":"Wolters Kluwer","title":"Updated research nosology for HIV-associated neurocognitive disorders","type":"article-journal","volume":"69"},"uris":["http://www.mendeley.com/documents/?uuid=8fdf2c55-d124-47da-a9a1-86f3dcc3834a"]},{"id":"ITEM-3","itemData":{"DOI":"10.1212/WNL.0b013e318200d727","ISSN":"1526-632X (Electronic)","PMID":"21135382","abstract":"OBJECTIVES: This is a cross-sectional, observational study to determine the  frequency and associated features of HIV-associated neurocognitive disorders (HAND) in a large, diverse sample of infected individuals in the era of combination antiretroviral therapy (CART). METHODS: A total of 1,555 HIV-infected adults were recruited from 6 university clinics across the United States, with minimal exclusions. We used standardized neuromedical, psychiatric, and neuropsychological (NP) examinations, and recently published criteria for diagnosing HAND and classifying 3 levels of comorbidity (minimal to severe non-HIV risks for NP impairment). RESULTS: Fifty-two percent of the total sample had NP impairment, with higher rates in groups with greater comorbidity burden (40%, 59%, and 83%). Prevalence estimates for specific HAND diagnoses (excluding severely confounded cases) were 33% for asymptomatic neurocognitive impairment, 12% for mild neurocognitive disorder, and only 2% for HIV-associated dementia (HAD). Among participants with minimal comorbidities (n = 843), history of low nadir CD4 was a strong predictor of impairment, and the lowest impairment rate on CART occurred in the subset with suppressed plasma viral loads and nadir CD4 ≥200 cells/mm(3) (30% vs 47% in remaining subgroups). CONCLUSIONS: The most severe HAND diagnosis (HAD) was rare, but milder forms of impairment remained common, even among those receiving CART who had minimal comorbidities. Future studies should clarify whether early disease events (e.g., profound CD4 decline) may trigger chronic CNS changes, and whether early CART prevents or reverses these changes.","author":[{"dropping-particle":"","family":"Heaton","given":"R K","non-dropping-particle":"","parse-names":false,"suffix":""},{"dropping-particle":"","family":"Clifford","given":"D B","non-dropping-particle":"","parse-names":false,"suffix":""},{"dropping-particle":"","family":"Franklin","given":"D R Jr","non-dropping-particle":"","parse-names":false,"suffix":""},{"dropping-particle":"","family":"Woods","given":"S P","non-dropping-particle":"","parse-names":false,"suffix":""},{"dropping-particle":"","family":"Ake","given":"C","non-dropping-particle":"","parse-names":false,"suffix":""},{"dropping-particle":"","family":"Vaida","given":"F","non-dropping-particle":"","parse-names":false,"suffix":""},{"dropping-particle":"","family":"Ellis","given":"R J","non-dropping-particle":"","parse-names":false,"suffix":""},{"dropping-particle":"","family":"Letendre","given":"S L","non-dropping-particle":"","parse-names":false,"suffix":""},{"dropping-particle":"","family":"Marcotte","given":"T D","non-dropping-particle":"","parse-names":false,"suffix":""},{"dropping-particle":"","family":"Atkinson","given":"J H","non-dropping-particle":"","parse-names":false,"suffix":""},{"dropping-particle":"","family":"Rivera-Mindt","given":"M","non-dropping-particle":"","parse-names":false,"suffix":""},{"dropping-particle":"","family":"Vigil","given":"O R","non-dropping-particle":"","parse-names":false,"suffix":""},{"dropping-particle":"","family":"Taylor","given":"M J","non-dropping-particle":"","parse-names":false,"suffix":""},{"dropping-particle":"","family":"Collier","given":"A C","non-dropping-particle":"","parse-names":false,"suffix":""},{"dropping-particle":"","family":"Marra","given":"C M","non-dropping-particle":"","parse-names":false,"suffix":""},{"dropping-particle":"","family":"Gelman","given":"B B","non-dropping-particle":"","parse-names":false,"suffix":""},{"dropping-particle":"","family":"McArthur","given":"J C","non-dropping-particle":"","parse-names":false,"suffix":""},{"dropping-particle":"","family":"Morgello","given":"S","non-dropping-particle":"","parse-names":false,"suffix":""},{"dropping-particle":"","family":"Simpson","given":"D M","non-dropping-particle":"","parse-names":false,"suffix":""},{"dropping-particle":"","family":"McCutchan","given":"J A","non-dropping-particle":"","parse-names":false,"suffix":""},{"dropping-particle":"","family":"Abramson","given":"I","non-dropping-particle":"","parse-names":false,"suffix":""},{"dropping-particle":"","family":"Gamst","given":"A","non-dropping-particle":"","parse-names":false,"suffix":""},{"dropping-particle":"","family":"Fennema-Notestine","given":"C","non-dropping-particle":"","parse-names":false,"suffix":""},{"dropping-particle":"","family":"Jernigan","given":"T L","non-dropping-particle":"","parse-names":false,"suffix":""},{"dropping-particle":"","family":"Wong","given":"J","non-dropping-particle":"","parse-names":false,"suffix":""},{"dropping-particle":"","family":"Grant","given":"I","non-dropping-particle":"","parse-names":false,"suffix":""}],"container-title":"Neurology","id":"ITEM-3","issue":"23","issued":{"date-parts":[["2010","12"]]},"language":"eng","page":"2087-2096","publisher-place":"United States","title":"HIV-associated neurocognitive disorders persist in the era of potent  antiretroviral therapy: CHARTER Study.","type":"article-journal","volume":"75"},"uris":["http://www.mendeley.com/documents/?uuid=a60b7e77-8a88-4ebb-ba78-5d09699f5fe1"]}],"mendeley":{"formattedCitation":"[13–15]","plainTextFormattedCitation":"[13–15]","previouslyFormattedCitation":"[13–15]"},"properties":{"noteIndex":0},"schema":"https://github.com/citation-style-language/schema/raw/master/csl-citation.json"}</w:instrText>
      </w:r>
      <w:r w:rsidR="004268A2" w:rsidRPr="00370C25">
        <w:rPr>
          <w:rStyle w:val="Rimandonotaapidipagina"/>
          <w:sz w:val="21"/>
          <w:szCs w:val="21"/>
        </w:rPr>
        <w:fldChar w:fldCharType="separate"/>
      </w:r>
      <w:r w:rsidR="000945B8" w:rsidRPr="00370C25">
        <w:rPr>
          <w:bCs/>
          <w:noProof/>
          <w:sz w:val="21"/>
          <w:szCs w:val="21"/>
        </w:rPr>
        <w:t>[13–15]</w:t>
      </w:r>
      <w:r w:rsidR="004268A2" w:rsidRPr="00370C25">
        <w:rPr>
          <w:rStyle w:val="Rimandonotaapidipagina"/>
          <w:sz w:val="21"/>
          <w:szCs w:val="21"/>
        </w:rPr>
        <w:fldChar w:fldCharType="end"/>
      </w:r>
      <w:r w:rsidR="00463667" w:rsidRPr="00370C25">
        <w:rPr>
          <w:sz w:val="21"/>
          <w:szCs w:val="21"/>
        </w:rPr>
        <w:t>.</w:t>
      </w:r>
      <w:bookmarkStart w:id="1" w:name="_Hlk215048681"/>
      <w:r w:rsidRPr="00370C25">
        <w:rPr>
          <w:sz w:val="21"/>
          <w:szCs w:val="21"/>
        </w:rPr>
        <w:t xml:space="preserve"> In</w:t>
      </w:r>
      <w:r w:rsidR="00463667" w:rsidRPr="00370C25">
        <w:rPr>
          <w:sz w:val="21"/>
          <w:szCs w:val="21"/>
        </w:rPr>
        <w:t xml:space="preserve"> this neuroimmune context, neurotrophins, such as nerve growth factor (NGF) and brain-derived neurotrophic factor (BDNF), are essential for neuronal survival and synaptic plasticity, </w:t>
      </w:r>
      <w:r w:rsidR="008F4350" w:rsidRPr="00370C25">
        <w:rPr>
          <w:sz w:val="21"/>
          <w:szCs w:val="21"/>
        </w:rPr>
        <w:t>and</w:t>
      </w:r>
      <w:r w:rsidR="00463667" w:rsidRPr="00370C25">
        <w:rPr>
          <w:sz w:val="21"/>
          <w:szCs w:val="21"/>
        </w:rPr>
        <w:t xml:space="preserve"> also regulate inflammatory responses </w:t>
      </w:r>
      <w:r w:rsidRPr="00370C25">
        <w:rPr>
          <w:sz w:val="21"/>
          <w:szCs w:val="21"/>
        </w:rPr>
        <w:t xml:space="preserve">by </w:t>
      </w:r>
      <w:r w:rsidR="00463667" w:rsidRPr="00370C25">
        <w:rPr>
          <w:sz w:val="21"/>
          <w:szCs w:val="21"/>
        </w:rPr>
        <w:t>mediating communication between the nervous and immune systems</w:t>
      </w:r>
      <w:bookmarkEnd w:id="1"/>
      <w:r w:rsidR="00463667" w:rsidRPr="00370C25">
        <w:rPr>
          <w:sz w:val="21"/>
          <w:szCs w:val="21"/>
        </w:rPr>
        <w:t xml:space="preserve">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{"citationItems":[{"id":"ITEM-1","itemData":{"DOI":"10.1007/978-1-61779-536-7_1","ISSN":"1940-6029 (Electronic)","PMID":"22367796","abstract":"The neurotrophins are a family of closely related proteins that were first  identified as survival factors for sympathetic and sensory neurons and have since been shown to control a number of aspects of survival, development, and function of neurons in both the central and peripheral nervous systems. Limiting quantities of neurotrophins during development control the numbers of surviving neurons to ensure a match between neurons and the requirement for a suitable density of target innervation. Biological effects of each of the four mammalian neurotrophins are mediated through activation of one or more of the three members of the tropomyosin-related kinase (Trk) family of receptor tyrosine kinases (TrkA, TrkB, and TrkC). In addition, all neurotrophins activate the p75 neurotrophin receptor, a member of the tumor necrosis factor receptor superfamily. Neurotrophin engagement of Trk receptors leads to activation of Ras, phosphatidylinositol 3-kinase, phospholipase C-γ1, and signaling pathways controlled through these proteins, including the mitogen-activated protein kinases. Neurotrophin availability is required into adulthood, where they control synaptic function and plasticity and sustain neuronal cell survival, morphology, and differentiation. This chapter will provide an overview of neurotrophin biology, their receptors, and signaling pathways.","author":[{"dropping-particle":"","family":"Skaper","given":"Stephen D","non-dropping-particle":"","parse-names":false,"suffix":""}],"container-title":"Methods in molecular biology (Clifton, N.J.)","id":"ITEM-1","issued":{"date-parts":[["2012"]]},"language":"eng","page":"1-12","publisher-place":"United States","title":"The neurotrophin family of neurotrophic factors: an overview.","type":"article-journal","volume":"846"},"uris":["http://www.mendeley.com/documents/?uuid=a83e1dc5-0243-4608-b3f6-b4cff6653c1a"]},{"id":"ITEM-2","itemData":{"ISSN":"1662-5102","abstract":"Cytokines are key regulatory mediators involved in the host response to immunological challenges, but also play a critical role in the communication between the immune and the central nervous system. For this, their expression in both systems is under a tight regulatory control. However, pathological conditions may lead to an overproduction of pro-inflammatory cytokines that may have a detrimental impact on central nervous system. In particular, they may damage neuronal structure and function leading to deficits of neuroplasticity, the ability of nervous system to perceive, respond and adapt to external or internal stimuli.\nIn search of the mechanisms by which pro-inflammatory cytokines may affect this crucial brain capability, we will discuss one of the most interesting hypotheses: the involvement of the neurotrophin brain-derived neurotrophic factor, which represents one of the major mediators of neuroplasticity.","author":[{"dropping-particle":"","family":"Calabrese","given":"Francesca","non-dropping-particle":"","parse-names":false,"suffix":""},{"dropping-particle":"","family":"Rossetti","given":"Andrea C","non-dropping-particle":"","parse-names":false,"suffix":""},{"dropping-particle":"","family":"Racagni","given":"Giorgio","non-dropping-particle":"","parse-names":false,"suffix":""},{"dropping-particle":"","family":"Gass","given":"Peter","non-dropping-particle":"","parse-names":false,"suffix":""},{"dropping-particle":"","family":"Riva","given":"Marco A","non-dropping-particle":"","parse-names":false,"suffix":""},{"dropping-particle":"","family":"Molteni","given":"Raffaella","non-dropping-particle":"","parse-names":false,"suffix":""}],"container-title":"Frontiers in Cellular Neuroscience","id":"ITEM-2","issued":{"date-parts":[["2014"]]},"title":"Brain-derived neurotrophic factor: a bridge between inflammation and neuroplasticity","type":"article-journal","volume":"Volume 8 -"},"uris":["http://www.mendeley.com/documents/?uuid=9c53f5b5-f16b-4c23-857e-4914dcb0acad"]},{"id":"ITEM-3","itemData":{"DOI":"10.1046/j.1460-9568.2003.02573.x","ISSN":"0953-816X (Print)","PMID":"12713648","abstract":"The condition of dominance or submission following agonistic encounters in the  adult male mouse is known to differentially affect brain nerve growth factor, a neurotrophin playing a role in brain remodeling, in the fine tuning of behaviour and in the regulation of the basal forebrain cholinergic neurons. During development and adult life nerve growth factor regulates brain expression of neurotransmitters and the stimulation of progenitor cells (stem cells) which, under different external stimuli, may differentiate into neuronal and/or glial cells promoting the recovery of the injured brain. However, little information is available for the aged brain. Thus in the present study we investigated the effect of the social status ('dominance' vs. 'submission') in the aged mouse on the presence of nerve growth factor, brain-derived neurotrophic factor, choline acetyltransferase, neuropeptide Y and progenitor cells of selected brain regions. We found that aged dominant mice showed increased brain-derived neurotrophic factor in the subventricular zone and hippocampus and increased choline acetyltransferase in the septum and basal nuclei, which were associated with increased presence of progenitor cells in the subventricular zone. Conversely, in aged subordinate mice the data showed a marked brain increase in nerve growth factor in the subventricular zone and hippocampus, choline acetyltransferase in the septum and basal nuclei and neuropeptide Y in the hippocampus and parietal cortex. The possible functional implications of these findings are discussed.","author":[{"dropping-particle":"","family":"Fiore","given":"Marco","non-dropping-particle":"","parse-names":false,"suffix":""},{"dropping-particle":"","family":"Amendola","given":"Tiziana","non-dropping-particle":"","parse-names":false,"suffix":""},{"dropping-particle":"","family":"Triaca","given":"Viviana","non-dropping-particle":"","parse-names":false,"suffix":""},{"dropping-particle":"","family":"Tirassa","given":"Paola","non-dropping-particle":"","parse-names":false,"suffix":""},{"dropping-particle":"","family":"Alleva","given":"Enrico","non-dropping-particle":"","parse-names":false,"suffix":""},{"dropping-particle":"","family":"Aloe","given":"Luigi","non-dropping-particle":"","parse-names":false,"suffix":""}],"container-title":"The European journal of neuroscience","id":"ITEM-3","issue":"7","issued":{"date-parts":[["2003","4"]]},"language":"eng","page":"1455-1464","publisher-place":"France","title":"Agonistic encounters in aged male mouse potentiate the expression of endogenous  brain NGF and BDNF: possible implication for brain progenitor cells' activation.","type":"article-journal","volume":"17"},"uris":["http://www.mendeley.com/documents/?uuid=0d750c82-9fe0-44ae-87fa-1d4f66a9ce11"]},{"id":"ITEM-4","itemData":{"DOI":"10.1042/CBI20100509","ISSN":"1095-8355 (Electronic)","PMID":"20825365","abstract":"Adipose tissue is a dynamic endocrine and paracrine organ producing a large  number of signalling proteins collectively termed adipokines. Some of them are mediators in the cross-talk between adipose tissue and the brain in regulating food intake and energy homoeostasis. However, the hypothalamus is not the only brain target for adipokines, and food intake is not the only biological effect of these signals. Rather, some adipokines support various cognitive functions and exert neurotrophic activity. Current data on adipose-derived neuropeptides, neurotrophic factors, pituitary hormones and hypothalamic releasing factors is highlighted in this review. We propose that adipose tissue is a member of the diffuse neuroendocrine system. Cumulatively, this is conceptualized as neuroadipology, a new example of a link between neurobiology and other topics, such as neuroimmunology and neuroendocrinology. Because adipose tissue is a bona fide endocrine organ, neuroadipology may be considered a new discipline in neuroendocrinology. It may have a wide-ranging potential within a variety of neuronal and metabolic functions in health and disease.","author":[{"dropping-particle":"","family":"Chaldakov","given":"George N","non-dropping-particle":"","parse-names":false,"suffix":""},{"dropping-particle":"","family":"Fiore","given":"Marco","non-dropping-particle":"","parse-names":false,"suffix":""},{"dropping-particle":"","family":"Tonchev","given":"Anton B","non-dropping-particle":"","parse-names":false,"suffix":""},{"dropping-particle":"","family":"Aloe","given":"Luigi","non-dropping-particle":"","parse-names":false,"suffix":""}],"container-title":"Cell biology international","id":"ITEM-4","issue":"10","issued":{"date-parts":[["2010","10"]]},"language":"eng","page":"1051-1053","publisher-place":"England","title":"Neuroadipology: a novel component of neuroendocrinology.","type":"article-journal","volume":"34"},"uris":["http://www.mendeley.com/documents/?uuid=d4183005-c9ca-43bc-86dd-5c5d34f35945"]},{"id":"ITEM-5","itemData":{"DOI":"10.3390/molecules30122657","ISBN":"1420-3049","abstract":"Neurodegenerative disorders, mental conditions, and cognitive decline represent significant challenges worldwide, with growing pieces of evidence implicating alterations in neurotrophin signaling as central to these diseases. Neurotrophins—such as nerve growth factor (NGF) and brain-derived neurotrophic factor (BDNF)—are indispensable for neuronal survival, differentiation, and synaptic plasticity, and their dysregulation is closely associated with various neuropathological situations. Similarly, dietary plant polyphenols, abundant in vegetables, fruits, wine, tea, and extra virgin olive oil, show powerful anti-inflammatory, antioxidant, and anti-apoptotic activities. This narrative review critically addresses the evolving body of evidence that links plant polyphenols and brain neurotrophins, emphasizing several molecular mechanisms by which polyphenols regulate and modulate neurotrophin signaling. Crucial pathways include mitigation of neuroinflammatory responses, activation of intracellular cascades such as the cAMP response element-binding protein (CREB), epigenetic modulation, and the diminution of oxidative stress. Together, these effects contribute to potentiated enhanced synaptic function, neuronal integrity, and better learning and memory processes. Moreover, this narrative review examines how polyphenol-induced upregulation of neurotrophins may alleviate conditions associated not only with neurodegeneration but also with addiction and mood disorders, suggesting extensive therapeutic approaches. Findings from clinical investigations and animal models are presented to sustain the neuroprotective role of polyphenol-rich diets. Lastly, future research directions are recommended, focusing on polyphenol bioavailability optimization, considering combinatory dietary stratagems, and proposing personalized nutritional interventions. This wide-ranging perspective highlights plant polyphenols as encouraging modulators of neurotrophin pathways and supports their inclusion in approaches aimed at promoting brain health and counteracting neurodegenerative decline.","author":[{"dropping-particle":"","family":"Fiore","given":"Marco","non-dropping-particle":"","parse-names":false,"suffix":""},{"dropping-particle":"","family":"Terracina","given":"Sergio","non-dropping-particle":"","parse-names":false,"suffix":""},{"dropping-particle":"","family":"Ferraguti","given":"Giampiero","non-dropping-particle":"","parse-names":false,"suffix":""}],"container-title":"Molecules","id":"ITEM-5","issue":"12","issued":{"date-parts":[["2025"]]},"page":"2657","title":"Brain Neurotrophins and Plant Polyphenols: A Powerful Connection","type":"article","volume":"30"},"uris":["http://www.mendeley.com/documents/?uuid=39777628-f0ea-48d3-8ee3-6f798763cec8"]}],"mendeley":{"formattedCitation":"[16–20]","plainTextFormattedCitation":"[16–20]"},"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[16–20]</w:t>
      </w:r>
      <w:r w:rsidR="004268A2" w:rsidRPr="00370C25">
        <w:rPr>
          <w:rStyle w:val="Rimandonotaapidipagina"/>
          <w:sz w:val="21"/>
          <w:szCs w:val="21"/>
        </w:rPr>
        <w:fldChar w:fldCharType="end"/>
      </w:r>
      <w:r w:rsidR="00463667" w:rsidRPr="00370C25">
        <w:rPr>
          <w:sz w:val="21"/>
          <w:szCs w:val="21"/>
        </w:rPr>
        <w:t xml:space="preserve">. Previous studies suggest that chronic peripheral inflammation and immune imbalance may alter the production, release or availability of these neurotrophic factors, potentially contributing to both peripheral and central nervous system dysfunctions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{"citationItems":[{"id":"ITEM-1","itemData":{"DOI":"10.1097/00008877-200006000-00007","ISSN":"0955-8810 (Print)","PMID":"11103878","abstract":"Neurotrophic factors, such as nerve growth factor (NGF) and brain-derived  neurotrophic factor (BDNF), are known to play a crucial role in growth, differentiation and function in a variety of brain neurons during development and in adult life. We have recently shown that environmental changes, aggressive behavior and anxiety-like responses alter both circulating and brain basal NGF levels. In the present review, we present data obtained using animal models which suggest that neurotrophic factors, particularly NGF and BDNF, might be implicated in mechanism(s) leading to a condition associated with schizophrenic-like behaviors. The hypothesis that neurotrophins of the NGF family can be implicated in some maldevelopmental aspects of schizophrenia is supported by findings indicating that the constitutive levels of NGF and BDNF are affected in schizophrenic patients.","author":[{"dropping-particle":"","family":"Aloe","given":"L","non-dropping-particle":"","parse-names":false,"suffix":""},{"dropping-particle":"","family":"Iannitelli","given":"A","non-dropping-particle":"","parse-names":false,"suffix":""},{"dropping-particle":"","family":"Angelucci","given":"F","non-dropping-particle":"","parse-names":false,"suffix":""},{"dropping-particle":"","family":"Bersani","given":"G","non-dropping-particle":"","parse-names":false,"suffix":""},{"dropping-particle":"","family":"Fiore","given":"M","non-dropping-particle":"","parse-names":false,"suffix":""}],"container-title":"Behavioural pharmacology","id":"ITEM-1","issue":"3-4","issued":{"date-parts":[["2000","6"]]},"language":"eng","page":"235-242","publisher-place":"England","title":"Studies in animal models and humans suggesting a role of nerve growth factor in  schizophrenia-like disorders.","type":"article-journal","volume":"11"},"uris":["http://www.mendeley.com/documents/?uuid=7a9718ff-6e3e-4939-a719-c4116cdffb6f"]},{"id":"ITEM-2","itemData":{"DOI":"10.3390/ijms241210083","ISSN":"1422-0067 (Electronic)","PMID":"37373230","abstract":"Many diseases and degenerative processes affecting the nervous system and  peripheral organs trigger the activation of inflammatory cascades. Inflammation can be triggered by different environmental conditions or risk factors, including drug and food addiction, stress, and aging, among others. Several pieces of evidence show that the modern lifestyle and, more recently, the confinement associated with the COVID-19 pandemic have contributed to increasing the incidence of addictive and neuropsychiatric disorders, plus cardiometabolic diseases. Here, we gather evidence on how some of these risk factors are implicated in activating central and peripheral inflammation contributing to some neuropathologies and behaviors associated with poor health. We discuss the current understanding of the cellular and molecular mechanisms involved in the generation of inflammation and how these processes occur in different cells and tissues to promote ill health and diseases. Concomitantly, we discuss how some pathology-associated and addictive behaviors contribute to worsening these inflammation mechanisms, leading to a vicious cycle that promotes disease progression. Finally, we list some drugs targeting inflammation-related pathways that may have beneficial effects on the pathological processes associated with addictive, mental, and cardiometabolic illnesses.","author":[{"dropping-particle":"","family":"Escobar","given":"Angélica P","non-dropping-particle":"","parse-names":false,"suffix":""},{"dropping-particle":"","family":"Bonansco","given":"Christian","non-dropping-particle":"","parse-names":false,"suffix":""},{"dropping-particle":"","family":"Cruz","given":"Gonzalo","non-dropping-particle":"","parse-names":false,"suffix":""},{"dropping-particle":"","family":"Dagnino-Subiabre","given":"Alexies","non-dropping-particle":"","parse-names":false,"suffix":""},{"dropping-particle":"","family":"Fuenzalida","given":"Marco","non-dropping-particle":"","parse-names":false,"suffix":""},{"dropping-particle":"","family":"Negrón","given":"Ignacio","non-dropping-particle":"","parse-names":false,"suffix":""},{"dropping-particle":"","family":"Sotomayor-Zárate","given":"Ramón","non-dropping-particle":"","parse-names":false,"suffix":""},{"dropping-particle":"","family":"Martínez-Pinto","given":"Jonathan","non-dropping-particle":"","parse-names":false,"suffix":""},{"dropping-particle":"","family":"Jorquera","given":"Gonzalo","non-dropping-particle":"","parse-names":false,"suffix":""}],"container-title":"International journal of molecular sciences","id":"ITEM-2","issue":"12","issued":{"date-parts":[["2023","6"]]},"language":"eng","publisher-place":"Switzerland","title":"Central and Peripheral Inflammation: A Common Factor Causing Addictive and  Neurological Disorders and Aging-Related Pathologies.","type":"article-journal","volume":"24"},"uris":["http://www.mendeley.com/documents/?uuid=d886bcff-fbdb-44bc-961b-eb471127aab9"]},{"id":"ITEM-3","itemData":{"DOI":"10.3390/cimb47060417","ISBN":"1467-3045","abstract":"Neuroinflammation represents a fundamental component in the development and progression of a wide range of neurological disorders, including neurodegenerative diseases, psychiatric conditions, and cerebral injuries. This review examines the complex mechanisms underlying neuroinflammatory responses, with a focus on the interactions between glial cells and neurons. The dualistic role of neuroinflammation is further investigated, highlighting its ability to promote neuroprotection in acute phases while also contributing to neuronal injury and degeneration during chronic activation. This review also considers innovative therapeutic approaches designed to target neuroinflammatory processes, like drug-based treatments and immune-modulating therapies. A thorough understanding of the regulatory balance within neuroinflammatory networks is essential for the development of effective treatments for several neurological pathologies. Finally, this review provides an integrative summary of current evidence and highlights emerging directions in neuroinflammation research.","author":[{"dropping-particle":"","family":"García-Domínguez","given":"Mario","non-dropping-particle":"","parse-names":false,"suffix":""}],"container-title":"Current Issues in Molecular Biology","id":"ITEM-3","issue":"6","issued":{"date-parts":[["2025"]]},"page":"417","title":"Neuroinflammation: Mechanisms, Dual Roles, and Therapeutic Strategies in Neurological Disorders","type":"article","volume":"47"},"uris":["http://www.mendeley.com/documents/?uuid=6553b2a7-c171-44ff-8a6d-206c6deb96b5"]},{"id":"ITEM-4","itemData":{"DOI":"10.3389/fnagi.2023.1305790","ISSN":"1663-4365 (Print)","PMID":"38094503","abstract":"Cognitive impairments, such as learning and memory deficits, may occur in  susceptible populations including the elderly and patients who are chronically ill or have experienced stressful events, including surgery, infection, and trauma. Accumulating lines of evidence suggested that peripheral inflammation featured by the recruitment of peripheral immune cells and the release of pro-inflammatory cytokines may be activated during aging and these conditions, participating in peripheral immune system-brain communication. Lots of progress has been achieved in deciphering the core bridging mechanism connecting peripheral inflammation and cognitive impairments, which may be helpful in developing early diagnosis, prognosis evaluation, and prevention methods based on peripheral blood circulation system sampling and intervention. In this review, we summarized the evolving evidence on the prevalence of peripheral inflammation-associated neurocognitive impairments and discussed the research advances in the underlying mechanisms. We also highlighted the prevention and treatment strategies against peripheral inflammation-associated cognitive dysfunction.","author":[{"dropping-particle":"","family":"Tan","given":"Siyou","non-dropping-particle":"","parse-names":false,"suffix":""},{"dropping-particle":"","family":"Chen","given":"Wenyan","non-dropping-particle":"","parse-names":false,"suffix":""},{"dropping-particle":"","family":"Kong","given":"Gaoyin","non-dropping-particle":"","parse-names":false,"suffix":""},{"dropping-particle":"","family":"Wei","given":"Lai","non-dropping-particle":"","parse-names":false,"suffix":""},{"dropping-particle":"","family":"Xie","given":"Yubo","non-dropping-particle":"","parse-names":false,"suffix":""}],"container-title":"Frontiers in aging neuroscience","id":"ITEM-4","issued":{"date-parts":[["2023"]]},"language":"eng","page":"1305790","publisher-place":"Switzerland","title":"Peripheral inflammation and neurocognitive impairment: correlations, underlying  mechanisms, and therapeutic implications.","type":"article-journal","volume":"15"},"uris":["http://www.mendeley.com/documents/?uuid=e996481a-a838-4f77-95f6-4356bca2280d"]}],"mendeley":{"formattedCitation":"[21–24]","plainTextFormattedCitation":"[21–24]","previouslyFormattedCitation":"[20–23]"},"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[21–24]</w:t>
      </w:r>
      <w:r w:rsidR="004268A2" w:rsidRPr="00370C25">
        <w:rPr>
          <w:rStyle w:val="Rimandonotaapidipagina"/>
          <w:sz w:val="21"/>
          <w:szCs w:val="21"/>
        </w:rPr>
        <w:fldChar w:fldCharType="end"/>
      </w:r>
      <w:r w:rsidR="00463667" w:rsidRPr="00370C25">
        <w:rPr>
          <w:sz w:val="21"/>
          <w:szCs w:val="21"/>
        </w:rPr>
        <w:t xml:space="preserve">. Changes in NGF and BDNF levels have been </w:t>
      </w:r>
      <w:r w:rsidR="008F4350" w:rsidRPr="00370C25">
        <w:rPr>
          <w:sz w:val="21"/>
          <w:szCs w:val="21"/>
        </w:rPr>
        <w:t>report</w:t>
      </w:r>
      <w:r w:rsidR="00463667" w:rsidRPr="00370C25">
        <w:rPr>
          <w:sz w:val="21"/>
          <w:szCs w:val="21"/>
        </w:rPr>
        <w:t xml:space="preserve">ed in both acute coronavirus disease 2019 (COVID-19) and post-acute COVID-19 syndrome (PACS), but with varying trends </w:t>
      </w:r>
      <w:r w:rsidR="008F4350" w:rsidRPr="00370C25">
        <w:rPr>
          <w:sz w:val="21"/>
          <w:szCs w:val="21"/>
        </w:rPr>
        <w:t>across</w:t>
      </w:r>
      <w:r w:rsidR="00463667" w:rsidRPr="00370C25">
        <w:rPr>
          <w:sz w:val="21"/>
          <w:szCs w:val="21"/>
        </w:rPr>
        <w:t xml:space="preserve"> studies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{"citationItems":[{"id":"ITEM-1","itemData":{"DOI":"10.3390/ijms22083846","ISSN":"1422-0067 (Electronic)","PMID":"33917718","abstract":"BACKGROUND: Brain-derived neurotrophic factor (BDNF) and nerve growth factor  (NGF) play a critical role in neurodevelopment, where breast milk is a significant dietary source. The impact of previous COVID-19 infection and mastitis on the concentration of BDNF and NGF in human milk was investigated. METHODS: Concentrations of BDNF and NGF were measured via ELISA in human milk samples collected from 12 mothers with a confirmed COVID-19 PCR, 13 mothers with viral symptoms suggestive of COVID-19, and 22 unexposed mothers (pre-pandemic Ctl-2018). These neurotrophins were also determined in 12 mothers with previous mastitis and 18 mothers without mastitis. RESULTS: The NGF concentration in human milk was lower in the COVID-19 PCR and viral symptoms groups than in the unexposed group, but BDNF did not differ significantly. Within the COVID-19 group, BDNF was higher in mothers who reported headaches or loss of smell/taste when compared with mothers without the respective symptom. BDNF was lower in mothers with mastitis than in mothers without mastitis. CONCLUSIONS: Previous COVID-19 and mastitis infections changed differently the secretion of NGF and BDNF in human milk. Whether the changes in NGF and BDNF levels in milk from mothers with infection influence their infant's development remains to be investigated.","author":[{"dropping-particle":"","family":"Demers-Mathieu","given":"Veronique","non-dropping-particle":"","parse-names":false,"suffix":""},{"dropping-particle":"","family":"Hines","given":"Dustin J","non-dropping-particle":"","parse-names":false,"suffix":""},{"dropping-particle":"","family":"Hines","given":"Rochelle M","non-dropping-particle":"","parse-names":false,"suffix":""},{"dropping-particle":"","family":"Lavangnananda","given":"Sirima","non-dropping-particle":"","parse-names":false,"suffix":""},{"dropping-particle":"","family":"Fels","given":"Shawn","non-dropping-particle":"","parse-names":false,"suffix":""},{"dropping-particle":"","family":"Medo","given":"Elena","non-dropping-particle":"","parse-names":false,"suffix":""}],"container-title":"International journal of molecular sciences","id":"ITEM-1","issue":"8","issued":{"date-parts":[["2021","4"]]},"language":"eng","publisher-place":"Switzerland","title":"Influence of Previous COVID-19 and Mastitis Infections on the Secretion of  Brain-Derived Neurotrophic Factor and Nerve Growth Factor in Human Milk.","type":"article-journal","volume":"22"},"uris":["http://www.mendeley.com/documents/?uuid=8480d964-5f15-43a6-8ad3-7a23820816bd"]},{"id":"ITEM-2","itemData":{"DOI":"10.3390/biology13110907","ISSN":"2079-7737 (Print)","PMID":"39596862","abstract":"Neurotrophins (NTs) constitute a family of small protein messengers that play a  fundamental role in both the central and peripheral nervous systems. In particular, the nerve growth factor (NGF) and the brain-derived neurotrophic factor (BDNF) play a subtle role in the survival, differentiation, and functioning of neuronal populations, as well as in the fine regulation of immune functions. The SARS-CoV-2 infection was characterized by a sequela of symptoms (serious respiratory pathology, inflammatory storm, neurological discomfort, up to the less serious flu-like symptoms), which caused, at the end of 2023, more than 7 million deaths worldwide. Despite the official end of the pandemic, the physical and psychological consequences are currently the object of scientific research, both acute and chronic/long-lasting (Long-COVID-19). Given the multifactorial nature of the outcomes of SARS-CoV-2 infection in adults and children, several studies have investigated the potential involvement of the NGF and BDNF systems in the pathology. This narrative review aims to summarize the most recent evidence on this crucial topic.","author":[{"dropping-particle":"","family":"Petrella","given":"Carla","non-dropping-particle":"","parse-names":false,"suffix":""},{"dropping-particle":"","family":"Ferraguti","given":"Giampiero","non-dropping-particle":"","parse-names":false,"suffix":""},{"dropping-particle":"","family":"Tarani","given":"Luigi","non-dropping-particle":"","parse-names":false,"suffix":""},{"dropping-particle":"","family":"Tarani","given":"Francesca","non-dropping-particle":"","parse-names":false,"suffix":""},{"dropping-particle":"","family":"Messina","given":"Marisa Patrizia","non-dropping-particle":"","parse-names":false,"suffix":""},{"dropping-particle":"","family":"Fiore","given":"Marco","non-dropping-particle":"","parse-names":false,"suffix":""}],"container-title":"Biology","id":"ITEM-2","issue":"11","issued":{"date-parts":[["2024","11"]]},"language":"eng","publisher-place":"Switzerland","title":"Nerve Growth Factor and Brain-Derived Neurotrophic Factor in COVID-19.","type":"article-journal","volume":"13"},"uris":["http://www.mendeley.com/documents/?uuid=b0850b7f-ebd4-41f0-a744-7b5b06ceadb5"]},{"id":"ITEM-3","itemData":{"DOI":"10.3390/diagnostics12051162","ISSN":"2075-4418 (Print)","PMID":"35626317","abstract":"COVID-19 (COronaVIrus Disease 19) is an infectious disease also known as an acute  respiratory syndrome caused by the SARS-CoV-2. Although in children and adolescents SARS-CoV-2 infection produces mostly mild or moderate symptoms, in a certain percentage of recovered young people a condition of malaise, defined as long-COVID-19, remains. To date, the risk factors for the development of long-COVID-19 are not completely elucidated. Neurotrophins such as NGF (Nerve Growth Factor) and BDNF (Brain-Derived Neurotrophic Factor) are known to regulate not only neuronal growth, survival and plasticity, but also to influence cardiovascular, immune, and endocrine systems in physiological and/or pathological conditions; to date only a few papers have discussed their potential role in COVID-19. In the present pilot study, we aimed to identify NGF and BDNF changes in the serum of a small cohort of male and female adolescents that contracted the infection during the second wave of the pandemic (between September and October 2020), notably in the absence of available vaccines. Blood withdrawal was carried out when the recruited adolescents tested negative for the SARS-CoV-2 (\"post-infected COVID-19\"), 30 to 35 days after the last molecular test. According to their COVID-19 related outcomes, the recruited individuals were divided into three groups: asymptomatics, acute symptomatics and symptomatics that over time developed long-COVID-19 symptoms (\"future long-COVID-19\"). As a control group, we analyzed the serum of age-matched healthy controls that did not contract the infection. Inflammatory biomarkers (TNF-α, TGF-β), MCP-1, IL-1α, IL-2, IL-6, IL-10, IL-12) were also analyzed with the free oxygen radicals' presence as an oxidative stress index. We showed that NGF serum content was lower in post-infected-COVID-19 individuals when compared to healthy controls; BDNF levels were found to be higher compared to healthy individuals only in post-infected-COVID-19 symptomatic and future long-COVID-19 girls, leaving the BDNF levels unchanged in asymptomatic individuals if compared to controls. Oxidative stress and inflammatory biomarkers were unchanged in male and female adolescents, except for TGF-β that, similarly to BDNF, was higher in post-infected-COVID-19 symptomatic and future long-COVID-19 girls. We predicted that NGF and/or BDNF could be used as early biomarkers of COVID-19 morbidity in adolescents.","author":[{"dropping-particle":"","family":"Petrella","given":"Carla","non-dropping-particle":"","parse-names":false,"suffix":""},{"dropping-particle":"","family":"Nenna","given":"Raffaella","non-dropping-particle":"","parse-names":false,"suffix":""},{"dropping-particle":"","family":"Petrarca","given":"Laura","non-dropping-particle":"","parse-names":false,"suffix":""},{"dropping-particle":"","family":"Tarani","given":"Francesca","non-dropping-particle":"","parse-names":false,"suffix":""},{"dropping-particle":"","family":"Paparella","given":"Roberto","non-dropping-particle":"","parse-names":false,"suffix":""},{"dropping-particle":"","family":"Mancino","given":"Enrica","non-dropping-particle":"","parse-names":false,"suffix":""},{"dropping-particle":"","family":"Mattia","given":"Greta","non-dropping-particle":"Di","parse-names":false,"suffix":""},{"dropping-particle":"","family":"Conti","given":"Maria Giulia","non-dropping-particle":"","parse-names":false,"suffix":""},{"dropping-particle":"","family":"Matera","given":"Luigi","non-dropping-particle":"","parse-names":false,"suffix":""},{"dropping-particle":"","family":"Bonci","given":"Enea","non-dropping-particle":"","parse-names":false,"suffix":""},{"dropping-particle":"","family":"Ceci","given":"Flavio Maria","non-dropping-particle":"","parse-names":false,"suffix":""},{"dropping-particle":"","family":"Ferraguti","given":"Giampiero","non-dropping-particle":"","parse-names":false,"suffix":""},{"dropping-particle":"","family":"Gabanella","given":"Francesca","non-dropping-particle":"","parse-names":false,"suffix":""},{"dropping-particle":"","family":"Barbato","given":"Christian","non-dropping-particle":"","parse-names":false,"suffix":""},{"dropping-particle":"","family":"Certo","given":"Maria Grazia","non-dropping-particle":"Di","parse-names":false,"suffix":""},{"dropping-particle":"","family":"Cavalcanti","given":"Luca","non-dropping-particle":"","parse-names":false,"suffix":""},{"dropping-particle":"","family":"Minni","given":"Antonio","non-dropping-particle":"","parse-names":false,"suffix":""},{"dropping-particle":"","family":"Midulla","given":"Fabio","non-dropping-particle":"","parse-names":false,"suffix":""},{"dropping-particle":"","family":"Tarani","given":"Luigi","non-dropping-particle":"","parse-names":false,"suffix":""},{"dropping-particle":"","family":"Fiore","given":"Marco","non-dropping-particle":"","parse-names":false,"suffix":""}],"container-title":"Diagnostics (Basel, Switzerland)","id":"ITEM-3","issue":"5","issued":{"date-parts":[["2022","5"]]},"language":"eng","publisher-place":"Switzerland","title":"Serum NGF and BDNF in Long-COVID-19 Adolescents: A Pilot Study.","type":"article-journal","volume":"12"},"uris":["http://www.mendeley.com/documents/?uuid=13e0fc2e-f7c8-4d85-9d26-cd2c837ca31f"]},{"id":"ITEM-4","itemData":{"DOI":"10.3390/cells12040655","ISSN":"2073-4409 (Electronic)","PMID":"36831321","abstract":"BACKGROUND AND METHODS: Severe COVID-19 is known to induce neurological damage  (NeuroCOVID), mostly in aged individuals, by affecting brain-derived neurotrophic factor (BDNF), matrix metalloproteinases (MMP) 2 and 9 and the neurofilament light chain (NFL) pathways. Thus, the aim of this pilot study was to investigate BDNF, MMP-2, MMP-9, and NFL in the serum of aged men affected by COVID-19 at the beginning of the hospitalization period and characterized by different outcomes, i.e., attending a hospital ward or an intensive care unit (ICU) or with a fatal outcome. As a control group, we used a novelty of the study, unexposed age-matched men. We also correlated these findings with the routine blood parameters of the recruited individuals. RESULTS: We found in COVID-19 individuals with severe or lethal outcomes disrupted serum BDNF, NFL, and MMP-2 presence and gross changes in ALT, GGT, LDH, IL-6, ferritin, and CRP. We also confirmed and extended previous data, using ROC analyses, showing that the ratio MMPs (2 and 9) versus BDNF and NFL might be a useful tool to predict a fatal COVID-19 outcome. CONCLUSIONS: Serum BDNF and NFL and/or their ratios with MMP-2 and MMP-9 could represent early predictors of NeuroCOVID in aged men.","author":[{"dropping-particle":"","family":"Petrella","given":"Carla","non-dropping-particle":"","parse-names":false,"suffix":""},{"dropping-particle":"","family":"Zingaropoli","given":"Maria Antonella","non-dropping-particle":"","parse-names":false,"suffix":""},{"dropping-particle":"","family":"Ceci","given":"Flavio Maria","non-dropping-particle":"","parse-names":false,"suffix":""},{"dropping-particle":"","family":"Pasculli","given":"Patrizia","non-dropping-particle":"","parse-names":false,"suffix":""},{"dropping-particle":"","family":"Latronico","given":"Tiziana","non-dropping-particle":"","parse-names":false,"suffix":""},{"dropping-particle":"","family":"Liuzzi","given":"Grazia Maria","non-dropping-particle":"","parse-names":false,"suffix":""},{"dropping-particle":"","family":"Ciardi","given":"Maria Rosa","non-dropping-particle":"","parse-names":false,"suffix":""},{"dropping-particle":"","family":"Angeloni","given":"Antonio","non-dropping-particle":"","parse-names":false,"suffix":""},{"dropping-particle":"","family":"Ettorre","given":"Evaristo","non-dropping-particle":"","parse-names":false,"suffix":""},{"dropping-particle":"","family":"Menghi","given":"Michela","non-dropping-particle":"","parse-names":false,"suffix":""},{"dropping-particle":"","family":"Barbato","given":"Christian","non-dropping-particle":"","parse-names":false,"suffix":""},{"dropping-particle":"","family":"Ferraguti","given":"Giampiero","non-dropping-particle":"","parse-names":false,"suffix":""},{"dropping-particle":"","family":"Minni","given":"Antonio","non-dropping-particle":"","parse-names":false,"suffix":""},{"dropping-particle":"","family":"Fiore","given":"Marco","non-dropping-particle":"","parse-names":false,"suffix":""}],"container-title":"Cells","id":"ITEM-4","issue":"4","issued":{"date-parts":[["2023","2"]]},"language":"eng","publisher-place":"Switzerland","title":"COVID-19 Affects Serum Brain-Derived Neurotrophic Factor and Neurofilament Light  Chain in Aged Men: Implications for Morbidity and Mortality.","type":"article-journal","volume":"12"},"uris":["http://www.mendeley.com/documents/?uuid=fcf4abef-b65d-4f18-a1d0-6b04c76934e8"]}],"mendeley":{"formattedCitation":"[25–28]","plainTextFormattedCitation":"[25–28]","previouslyFormattedCitation":"[24–27]"},"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[25–28]</w:t>
      </w:r>
      <w:r w:rsidR="004268A2" w:rsidRPr="00370C25">
        <w:rPr>
          <w:rStyle w:val="Rimandonotaapidipagina"/>
          <w:sz w:val="21"/>
          <w:szCs w:val="21"/>
        </w:rPr>
        <w:fldChar w:fldCharType="end"/>
      </w:r>
      <w:r w:rsidR="00463667" w:rsidRPr="00370C25">
        <w:rPr>
          <w:sz w:val="21"/>
          <w:szCs w:val="21"/>
        </w:rPr>
        <w:t xml:space="preserve">. Despite some of the clinical features of HIV-mediated neurological impairment being associated with altered BDNF regulation and function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{"citationItems":[{"id":"ITEM-1","itemData":{"DOI":"https://doi.org/10.1111/joim.12050","ISSN":"0954-6820","abstract":"Abstract Many people infected with the human immunodeficiency virus type-1 (HIV) exhibit mild or severe neurological problems, termed HIV-associated neurocognitive disorder (HAND), even when receiving antiretroviral therapy. Thus, novel adjunctive therapies must be developed to overcome the neurotoxic effect of HIV. New therapies require a better understanding of the molecular and cellular mechanisms of HIV-induced neurotoxicity and the risk factors that, besides inflammation and T-cell depletion and drugs of abuse, render the central nervous system (CNS) a target of HIV-induced neurotoxicity. HIV appears to impair neuronal plasticity, which refers to the innate ability of the CNS respond to injury and promote recovery of function. The availability of brain-derived neurotrophic factor (BDNF), a potent neurotrophic factor that is present in abundance in the adult brain, is essential for neuronal plasticity. BDNF acts through a receptor system composed of Trk and p75NTR. Here, we present experimental evidence that some of the clinical features of HIV-mediated neurological impairment could result from altered BDNF/TrkB/p75NTR regulation and function.","author":[{"dropping-particle":"","family":"Avdoshina","given":"V","non-dropping-particle":"","parse-names":false,"suffix":""},{"dropping-particle":"","family":"Bachis","given":"A","non-dropping-particle":"","parse-names":false,"suffix":""},{"dropping-particle":"","family":"Mocchetti","given":"I","non-dropping-particle":"","parse-names":false,"suffix":""}],"container-title":"Journal of Internal Medicine","id":"ITEM-1","issue":"5","issued":{"date-parts":[["2013","5"]]},"page":"454-465","publisher":"John Wiley &amp; Sons, Ltd","title":"Synaptic dysfunction in human immunodeficiency virus type-1-positive subjects: inflammation or impaired neuronal plasticity?","type":"article-journal","volume":"273"},"uris":["http://www.mendeley.com/documents/?uuid=fb7f9ab0-d86b-4077-8647-e36de3e8512a","http://www.mendeley.com/documents/?uuid=54f366e6-fd76-47dc-b6ae-9cd61d323fb8"]}],"mendeley":{"formattedCitation":"[29]","plainTextFormattedCitation":"[29]","previouslyFormattedCitation":"[28]"},"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noProof/>
          <w:sz w:val="21"/>
          <w:szCs w:val="21"/>
        </w:rPr>
        <w:t>[29]</w:t>
      </w:r>
      <w:r w:rsidR="004268A2" w:rsidRPr="00370C25">
        <w:rPr>
          <w:rStyle w:val="Rimandonotaapidipagina"/>
          <w:sz w:val="21"/>
          <w:szCs w:val="21"/>
        </w:rPr>
        <w:fldChar w:fldCharType="end"/>
      </w:r>
      <w:r w:rsidR="00463667" w:rsidRPr="00370C25">
        <w:rPr>
          <w:sz w:val="21"/>
          <w:szCs w:val="21"/>
        </w:rPr>
        <w:t xml:space="preserve">, current evidence regarding </w:t>
      </w:r>
      <w:proofErr w:type="spellStart"/>
      <w:r w:rsidR="00463667" w:rsidRPr="00370C25">
        <w:rPr>
          <w:sz w:val="21"/>
          <w:szCs w:val="21"/>
        </w:rPr>
        <w:t>neurotrophin</w:t>
      </w:r>
      <w:proofErr w:type="spellEnd"/>
      <w:r w:rsidR="00463667" w:rsidRPr="00370C25">
        <w:rPr>
          <w:sz w:val="21"/>
          <w:szCs w:val="21"/>
        </w:rPr>
        <w:t xml:space="preserve"> profile in PLWH remains limited. </w:t>
      </w:r>
      <w:r w:rsidRPr="00370C25">
        <w:rPr>
          <w:sz w:val="21"/>
          <w:szCs w:val="21"/>
        </w:rPr>
        <w:t>A consistent</w:t>
      </w:r>
      <w:r w:rsidR="00463667" w:rsidRPr="00370C25">
        <w:rPr>
          <w:sz w:val="21"/>
          <w:szCs w:val="21"/>
        </w:rPr>
        <w:t xml:space="preserve"> association</w:t>
      </w:r>
      <w:r w:rsidRPr="00370C25">
        <w:rPr>
          <w:sz w:val="21"/>
          <w:szCs w:val="21"/>
        </w:rPr>
        <w:t xml:space="preserve"> has recently been described</w:t>
      </w:r>
      <w:r w:rsidR="00463667" w:rsidRPr="00370C25">
        <w:rPr>
          <w:sz w:val="21"/>
          <w:szCs w:val="21"/>
        </w:rPr>
        <w:t xml:space="preserve"> between BDNF serum levels and cognitive function</w:t>
      </w:r>
      <w:r w:rsidRPr="00370C25">
        <w:rPr>
          <w:sz w:val="21"/>
          <w:szCs w:val="21"/>
        </w:rPr>
        <w:t xml:space="preserve"> </w:t>
      </w:r>
      <w:r w:rsidR="00463667" w:rsidRPr="00370C25">
        <w:rPr>
          <w:sz w:val="21"/>
          <w:szCs w:val="21"/>
        </w:rPr>
        <w:t xml:space="preserve">in PLWH, suggesting the potential role of this </w:t>
      </w:r>
      <w:proofErr w:type="spellStart"/>
      <w:r w:rsidR="00463667" w:rsidRPr="00370C25">
        <w:rPr>
          <w:sz w:val="21"/>
          <w:szCs w:val="21"/>
        </w:rPr>
        <w:t>neurotrophin</w:t>
      </w:r>
      <w:proofErr w:type="spellEnd"/>
      <w:r w:rsidR="00463667" w:rsidRPr="00370C25">
        <w:rPr>
          <w:sz w:val="21"/>
          <w:szCs w:val="21"/>
        </w:rPr>
        <w:t xml:space="preserve"> as a biomarker for cognitive decline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{"citationItems":[{"id":"ITEM-1","itemData":{"DOI":"10.1177/10998004241296466","ISSN":"1552-4175 (Electronic)","PMID":"39466720","abstract":"Background: People with HIV (PWH) are at risk of developing HIV-associated  neurocognitive disorder (HAND) despite receiving combination antiretroviral therapy. Brain-derived neurotrophic factor (BDNF) has been implicated in cognitive function and neuroplasticity, but its role in HIV-related neuroinflammation remains understudied. Methods: This study analyzed data from the CHAMPS study, assessing BDNF serum levels and cognitive function in 140 adults with HIV at baseline. Cognitive function was evaluated using the PROMIS Applied Cognition-Abilities 8-item questionnaire. BDNF levels (pg/ml) were measured using high sensitivity Enzyme-Linked Immunoassay (ELISA) kits. Linear regression analyses were conducted to explore the associations between BDNF levels, cognitive function, and AIDS diagnosis, adjusting for demographic variables. Results: A significant positive association was found between BDNF levels and cognitive function scores in PWH (p = .03). Additionally, PWH with a history of AIDS diagnosis showed significantly lower BDNF levels (p = .02). Other demographic factors did not significantly impact cognitive function or BDNF levels in this cohort. Conclusions: Our results highlight the potential of BDNF as a biomarker for cognitive decline in PWH and suggest its relevance in understanding HAND pathophysiology. Further research is warranted to explore the multifaceted interactions influencing cognitive outcomes in this population and to develop targeted interventions for improving cognitive health in PWH.","author":[{"dropping-particle":"","family":"Belloir","given":"Joseph A","non-dropping-particle":"","parse-names":false,"suffix":""},{"dropping-particle":"","family":"Myers","given":"Thomas","non-dropping-particle":"","parse-names":false,"suffix":""},{"dropping-particle":"","family":"Batey","given":"Scott","non-dropping-particle":"","parse-names":false,"suffix":""},{"dropping-particle":"","family":"Schnall","given":"Rebecca","non-dropping-particle":"","parse-names":false,"suffix":""}],"container-title":"Biological research for nursing","id":"ITEM-1","issue":"2","issued":{"date-parts":[["2025","4"]]},"language":"eng","page":"255-260","publisher-place":"United States","title":"Brain-Derived Neurotrophic Factor (BDNF) is Associated with Self-Reported  Cognitive Function in Adults with HIV.","type":"article-journal","volume":"27"},"uris":["http://www.mendeley.com/documents/?uuid=c7d68094-b16b-441c-a68a-ee03f338bf29","http://www.mendeley.com/documents/?uuid=74ddab52-d08f-4ca9-ad0f-5625fa9775ac"]}],"mendeley":{"formattedCitation":"[30]","plainTextFormattedCitation":"[30]","previouslyFormattedCitation":"[29]"},"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[30]</w:t>
      </w:r>
      <w:r w:rsidR="004268A2" w:rsidRPr="00370C25">
        <w:rPr>
          <w:rStyle w:val="Rimandonotaapidipagina"/>
          <w:sz w:val="21"/>
          <w:szCs w:val="21"/>
        </w:rPr>
        <w:fldChar w:fldCharType="end"/>
      </w:r>
      <w:r w:rsidR="00463667" w:rsidRPr="00370C25">
        <w:rPr>
          <w:sz w:val="21"/>
          <w:szCs w:val="21"/>
        </w:rPr>
        <w:t xml:space="preserve">.  </w:t>
      </w:r>
      <w:proofErr w:type="gramStart"/>
      <w:r w:rsidR="00463667" w:rsidRPr="00370C25">
        <w:rPr>
          <w:sz w:val="21"/>
          <w:szCs w:val="21"/>
        </w:rPr>
        <w:t xml:space="preserve">In </w:t>
      </w:r>
      <w:r w:rsidR="00463667" w:rsidRPr="00370C25">
        <w:rPr>
          <w:sz w:val="21"/>
          <w:szCs w:val="21"/>
        </w:rPr>
        <w:t>light of</w:t>
      </w:r>
      <w:proofErr w:type="gramEnd"/>
      <w:r w:rsidR="00463667" w:rsidRPr="00370C25">
        <w:rPr>
          <w:sz w:val="21"/>
          <w:szCs w:val="21"/>
        </w:rPr>
        <w:t xml:space="preserve"> these knowledge gaps, t</w:t>
      </w:r>
      <w:r w:rsidRPr="00370C25">
        <w:rPr>
          <w:sz w:val="21"/>
          <w:szCs w:val="21"/>
        </w:rPr>
        <w:t>he aim of this</w:t>
      </w:r>
      <w:r w:rsidR="00463667" w:rsidRPr="00370C25">
        <w:rPr>
          <w:sz w:val="21"/>
          <w:szCs w:val="21"/>
        </w:rPr>
        <w:t xml:space="preserve"> study </w:t>
      </w:r>
      <w:r w:rsidRPr="00370C25">
        <w:rPr>
          <w:sz w:val="21"/>
          <w:szCs w:val="21"/>
        </w:rPr>
        <w:t>was</w:t>
      </w:r>
      <w:r w:rsidR="00463667" w:rsidRPr="00370C25">
        <w:rPr>
          <w:sz w:val="21"/>
          <w:szCs w:val="21"/>
        </w:rPr>
        <w:t xml:space="preserve"> to characterize serum NGF and BDNF levels in ART-</w:t>
      </w:r>
      <w:proofErr w:type="gramStart"/>
      <w:r w:rsidR="00463667" w:rsidRPr="00370C25">
        <w:rPr>
          <w:sz w:val="21"/>
          <w:szCs w:val="21"/>
        </w:rPr>
        <w:t>naïve</w:t>
      </w:r>
      <w:proofErr w:type="gramEnd"/>
      <w:r w:rsidR="00463667" w:rsidRPr="00370C25">
        <w:rPr>
          <w:sz w:val="21"/>
          <w:szCs w:val="21"/>
        </w:rPr>
        <w:t xml:space="preserve"> and ART-treated PLWH, </w:t>
      </w:r>
      <w:r w:rsidRPr="00370C25">
        <w:rPr>
          <w:sz w:val="21"/>
          <w:szCs w:val="21"/>
        </w:rPr>
        <w:t xml:space="preserve">and to </w:t>
      </w:r>
      <w:r w:rsidR="00463667" w:rsidRPr="00370C25">
        <w:rPr>
          <w:sz w:val="21"/>
          <w:szCs w:val="21"/>
        </w:rPr>
        <w:t>compar</w:t>
      </w:r>
      <w:r w:rsidRPr="00370C25">
        <w:rPr>
          <w:sz w:val="21"/>
          <w:szCs w:val="21"/>
        </w:rPr>
        <w:t>e</w:t>
      </w:r>
      <w:r w:rsidR="00463667" w:rsidRPr="00370C25">
        <w:rPr>
          <w:sz w:val="21"/>
          <w:szCs w:val="21"/>
        </w:rPr>
        <w:t xml:space="preserve"> </w:t>
      </w:r>
      <w:r w:rsidRPr="00370C25">
        <w:rPr>
          <w:sz w:val="21"/>
          <w:szCs w:val="21"/>
        </w:rPr>
        <w:t xml:space="preserve">these </w:t>
      </w:r>
      <w:r w:rsidR="00463667" w:rsidRPr="00370C25">
        <w:rPr>
          <w:sz w:val="21"/>
          <w:szCs w:val="21"/>
        </w:rPr>
        <w:t>values with</w:t>
      </w:r>
      <w:r w:rsidRPr="00370C25">
        <w:rPr>
          <w:sz w:val="21"/>
          <w:szCs w:val="21"/>
        </w:rPr>
        <w:t xml:space="preserve"> those of</w:t>
      </w:r>
      <w:r w:rsidR="00463667" w:rsidRPr="00370C25">
        <w:rPr>
          <w:sz w:val="21"/>
          <w:szCs w:val="21"/>
        </w:rPr>
        <w:t xml:space="preserve"> HIV-negative volunteers</w:t>
      </w:r>
      <w:r w:rsidRPr="00370C25">
        <w:rPr>
          <w:sz w:val="21"/>
          <w:szCs w:val="21"/>
        </w:rPr>
        <w:t>. The study also aimed to explore</w:t>
      </w:r>
      <w:r w:rsidR="00463667" w:rsidRPr="00370C25">
        <w:rPr>
          <w:sz w:val="21"/>
          <w:szCs w:val="21"/>
        </w:rPr>
        <w:t xml:space="preserve"> the associations</w:t>
      </w:r>
      <w:r w:rsidRPr="00370C25">
        <w:rPr>
          <w:sz w:val="21"/>
          <w:szCs w:val="21"/>
        </w:rPr>
        <w:t xml:space="preserve"> between these levels and</w:t>
      </w:r>
      <w:r w:rsidR="00463667" w:rsidRPr="00370C25">
        <w:rPr>
          <w:sz w:val="21"/>
          <w:szCs w:val="21"/>
        </w:rPr>
        <w:t xml:space="preserve"> current </w:t>
      </w:r>
      <w:r w:rsidRPr="00370C25">
        <w:rPr>
          <w:sz w:val="21"/>
          <w:szCs w:val="21"/>
        </w:rPr>
        <w:t>or</w:t>
      </w:r>
      <w:r w:rsidR="00463667" w:rsidRPr="00370C25">
        <w:rPr>
          <w:sz w:val="21"/>
          <w:szCs w:val="21"/>
        </w:rPr>
        <w:t xml:space="preserve"> historical clinical conditions, based on virological and immunological parameters. </w:t>
      </w:r>
      <w:r w:rsidRPr="00370C25">
        <w:rPr>
          <w:sz w:val="21"/>
          <w:szCs w:val="21"/>
        </w:rPr>
        <w:t>Gaining a</w:t>
      </w:r>
      <w:r w:rsidR="00463667" w:rsidRPr="00370C25">
        <w:rPr>
          <w:sz w:val="21"/>
          <w:szCs w:val="21"/>
        </w:rPr>
        <w:t xml:space="preserve"> deeper understanding of the neuroimmune mechanisms involved in HIV infection could </w:t>
      </w:r>
      <w:r w:rsidRPr="00370C25">
        <w:rPr>
          <w:sz w:val="21"/>
          <w:szCs w:val="21"/>
        </w:rPr>
        <w:t>be valuable for</w:t>
      </w:r>
      <w:r w:rsidR="00463667" w:rsidRPr="00370C25">
        <w:rPr>
          <w:sz w:val="21"/>
          <w:szCs w:val="21"/>
        </w:rPr>
        <w:t xml:space="preserve"> manag</w:t>
      </w:r>
      <w:r w:rsidRPr="00370C25">
        <w:rPr>
          <w:sz w:val="21"/>
          <w:szCs w:val="21"/>
        </w:rPr>
        <w:t>ing</w:t>
      </w:r>
      <w:r w:rsidR="00463667" w:rsidRPr="00370C25">
        <w:rPr>
          <w:sz w:val="21"/>
          <w:szCs w:val="21"/>
        </w:rPr>
        <w:t xml:space="preserve"> HIV-associated neurocognitive disorders and</w:t>
      </w:r>
      <w:r w:rsidRPr="00370C25">
        <w:rPr>
          <w:sz w:val="21"/>
          <w:szCs w:val="21"/>
        </w:rPr>
        <w:t xml:space="preserve"> facilitating</w:t>
      </w:r>
      <w:r w:rsidR="00463667" w:rsidRPr="00370C25">
        <w:rPr>
          <w:sz w:val="21"/>
          <w:szCs w:val="21"/>
        </w:rPr>
        <w:t xml:space="preserve"> long-term immune recovery.</w:t>
      </w:r>
    </w:p>
    <w:bookmarkEnd w:id="0"/>
    <w:p w14:paraId="0EFA286A" w14:textId="77777777" w:rsidR="00C33410" w:rsidRPr="00370C25" w:rsidRDefault="00C33410" w:rsidP="00C33410">
      <w:pPr>
        <w:pStyle w:val="06-Heading-1"/>
        <w:spacing w:before="0"/>
        <w:rPr>
          <w:bCs/>
        </w:rPr>
      </w:pPr>
      <w:r w:rsidRPr="00370C25">
        <w:rPr>
          <w:bCs/>
        </w:rPr>
        <w:t>2. MATERIALS AND METHODS</w:t>
      </w:r>
    </w:p>
    <w:p w14:paraId="7C6CEABE" w14:textId="00CDDE5A" w:rsidR="00C33410" w:rsidRPr="00370C25" w:rsidRDefault="00000000" w:rsidP="000D6F71">
      <w:pPr>
        <w:pStyle w:val="05-ArticleText"/>
        <w:spacing w:after="0"/>
        <w:rPr>
          <w:color w:val="A6A6A6"/>
          <w:sz w:val="21"/>
          <w:szCs w:val="21"/>
          <w:lang w:eastAsia="en-US"/>
        </w:rPr>
      </w:pPr>
      <w:sdt>
        <w:sdtPr>
          <w:rPr>
            <w:color w:val="A6A6A6"/>
            <w:sz w:val="21"/>
            <w:szCs w:val="21"/>
            <w:lang w:eastAsia="en-US"/>
          </w:rPr>
          <w:id w:val="169605739"/>
          <w:placeholder>
            <w:docPart w:val="ECEE187784B04486A94C91688F3F02FA"/>
          </w:placeholder>
        </w:sdtPr>
        <w:sdtContent>
          <w:r w:rsidR="000D6F71" w:rsidRPr="00370C25">
            <w:rPr>
              <w:b/>
              <w:bCs/>
              <w:sz w:val="21"/>
              <w:szCs w:val="21"/>
            </w:rPr>
            <w:t>2.1. Participants enrollment and samples collection</w:t>
          </w:r>
        </w:sdtContent>
      </w:sdt>
      <w:r w:rsidR="00C33410" w:rsidRPr="00370C25">
        <w:rPr>
          <w:color w:val="A6A6A6"/>
          <w:sz w:val="21"/>
          <w:szCs w:val="21"/>
          <w:lang w:eastAsia="en-US"/>
        </w:rPr>
        <w:tab/>
      </w:r>
      <w:sdt>
        <w:sdtPr>
          <w:rPr>
            <w:color w:val="A6A6A6"/>
            <w:sz w:val="21"/>
            <w:szCs w:val="21"/>
            <w:lang w:eastAsia="en-US"/>
          </w:rPr>
          <w:id w:val="2104986968"/>
          <w:placeholder>
            <w:docPart w:val="A17141ED14514FF4B97DABFD0C974B18"/>
          </w:placeholder>
        </w:sdtPr>
        <w:sdtContent>
          <w:r w:rsidR="000D6F71" w:rsidRPr="00370C25">
            <w:rPr>
              <w:sz w:val="21"/>
              <w:szCs w:val="21"/>
            </w:rPr>
            <w:t xml:space="preserve">A cross-sectional study was conducted on a cohort of cisgender men PLWH enrolled at the Department of Public Health and Infectious Diseases, Sapienza University of Rome (Italy). Inclusion criteria were age over 18 years and a diagnosis of HIV. </w:t>
          </w:r>
          <w:r w:rsidR="005A6D81" w:rsidRPr="00370C25">
            <w:rPr>
              <w:sz w:val="21"/>
              <w:szCs w:val="21"/>
            </w:rPr>
            <w:t xml:space="preserve">Exclusion criteria were body mass index &gt; 30 and </w:t>
          </w:r>
          <w:r w:rsidR="006317A4" w:rsidRPr="00370C25">
            <w:rPr>
              <w:sz w:val="21"/>
              <w:szCs w:val="21"/>
            </w:rPr>
            <w:t xml:space="preserve">use of </w:t>
          </w:r>
          <w:r w:rsidR="005A6D81" w:rsidRPr="00370C25">
            <w:rPr>
              <w:sz w:val="21"/>
              <w:szCs w:val="21"/>
            </w:rPr>
            <w:t xml:space="preserve">psychotropic medications. </w:t>
          </w:r>
          <w:r w:rsidR="000D6F71" w:rsidRPr="00370C25">
            <w:rPr>
              <w:sz w:val="21"/>
              <w:szCs w:val="21"/>
            </w:rPr>
            <w:t xml:space="preserve">The data source for patient information was derived from the Hospital Electronic Information System. Additionally, age- and sex-matched healthy volunteers were included as HIV-negative controls (HC). The study was performed following </w:t>
          </w:r>
          <w:r w:rsidR="00D303B0" w:rsidRPr="00370C25">
            <w:rPr>
              <w:sz w:val="21"/>
              <w:szCs w:val="21"/>
            </w:rPr>
            <w:t xml:space="preserve">approval from </w:t>
          </w:r>
          <w:r w:rsidR="000D6F71" w:rsidRPr="00370C25">
            <w:rPr>
              <w:sz w:val="21"/>
              <w:szCs w:val="21"/>
            </w:rPr>
            <w:t>the Institutional Review Board (Department of Public Health and Infectious Diseases, Sapienza, University of Rome) and the Ethics Committee (</w:t>
          </w:r>
          <w:r w:rsidR="00D303B0" w:rsidRPr="00370C25">
            <w:rPr>
              <w:rFonts w:ascii="Palatino Linotype" w:hAnsi="Palatino Linotype"/>
            </w:rPr>
            <w:t xml:space="preserve">Comitato </w:t>
          </w:r>
          <w:proofErr w:type="spellStart"/>
          <w:r w:rsidR="00D303B0" w:rsidRPr="00370C25">
            <w:rPr>
              <w:rFonts w:ascii="Palatino Linotype" w:hAnsi="Palatino Linotype"/>
            </w:rPr>
            <w:t>Etico</w:t>
          </w:r>
          <w:proofErr w:type="spellEnd"/>
          <w:r w:rsidR="00D303B0" w:rsidRPr="00370C25">
            <w:rPr>
              <w:rFonts w:ascii="Palatino Linotype" w:hAnsi="Palatino Linotype"/>
            </w:rPr>
            <w:t xml:space="preserve"> </w:t>
          </w:r>
          <w:proofErr w:type="spellStart"/>
          <w:r w:rsidR="00D303B0" w:rsidRPr="00370C25">
            <w:rPr>
              <w:rFonts w:ascii="Palatino Linotype" w:hAnsi="Palatino Linotype"/>
            </w:rPr>
            <w:t>Territoriale</w:t>
          </w:r>
          <w:proofErr w:type="spellEnd"/>
          <w:r w:rsidR="00D303B0" w:rsidRPr="00370C25">
            <w:rPr>
              <w:rFonts w:ascii="Palatino Linotype" w:hAnsi="Palatino Linotype"/>
            </w:rPr>
            <w:t xml:space="preserve"> Lazio Area 1</w:t>
          </w:r>
          <w:r w:rsidR="000D6F71" w:rsidRPr="00370C25">
            <w:rPr>
              <w:sz w:val="21"/>
              <w:szCs w:val="21"/>
            </w:rPr>
            <w:t>)</w:t>
          </w:r>
          <w:r w:rsidR="00D303B0" w:rsidRPr="00370C25">
            <w:rPr>
              <w:sz w:val="21"/>
              <w:szCs w:val="21"/>
            </w:rPr>
            <w:t xml:space="preserve">, </w:t>
          </w:r>
          <w:r w:rsidR="000D6F71" w:rsidRPr="00370C25">
            <w:rPr>
              <w:sz w:val="21"/>
              <w:szCs w:val="21"/>
            </w:rPr>
            <w:t>and</w:t>
          </w:r>
          <w:r w:rsidR="00D303B0" w:rsidRPr="00370C25">
            <w:rPr>
              <w:sz w:val="21"/>
              <w:szCs w:val="21"/>
            </w:rPr>
            <w:t xml:space="preserve"> after all study participants</w:t>
          </w:r>
          <w:r w:rsidR="000D6F71" w:rsidRPr="00370C25">
            <w:rPr>
              <w:sz w:val="21"/>
              <w:szCs w:val="21"/>
            </w:rPr>
            <w:t xml:space="preserve"> sign</w:t>
          </w:r>
          <w:r w:rsidR="00D303B0" w:rsidRPr="00370C25">
            <w:rPr>
              <w:sz w:val="21"/>
              <w:szCs w:val="21"/>
            </w:rPr>
            <w:t>ed</w:t>
          </w:r>
          <w:r w:rsidR="000D6F71" w:rsidRPr="00370C25">
            <w:rPr>
              <w:sz w:val="21"/>
              <w:szCs w:val="21"/>
            </w:rPr>
            <w:t xml:space="preserve"> informed consent. Finally, data were anonymized and a progressive alphanumeric code was assigned to them. </w:t>
          </w:r>
          <w:r w:rsidR="00EB002C" w:rsidRPr="00370C25">
            <w:rPr>
              <w:sz w:val="21"/>
              <w:szCs w:val="21"/>
            </w:rPr>
            <w:t>A total of 50 f</w:t>
          </w:r>
          <w:r w:rsidR="000D6F71" w:rsidRPr="00370C25">
            <w:rPr>
              <w:sz w:val="21"/>
              <w:szCs w:val="21"/>
            </w:rPr>
            <w:t>resh peripheral blood samples were collected by venipuncture into Vacutainer tubes containing a gel separator for serum (BD Biosciences, USA) from 13 ART-</w:t>
          </w:r>
          <w:proofErr w:type="gramStart"/>
          <w:r w:rsidR="000D6F71" w:rsidRPr="00370C25">
            <w:rPr>
              <w:sz w:val="21"/>
              <w:szCs w:val="21"/>
            </w:rPr>
            <w:t>naïve</w:t>
          </w:r>
          <w:proofErr w:type="gramEnd"/>
          <w:r w:rsidR="000D6F71" w:rsidRPr="00370C25">
            <w:rPr>
              <w:sz w:val="21"/>
              <w:szCs w:val="21"/>
            </w:rPr>
            <w:t xml:space="preserve"> and 12 ART-treated PLWH, and from two HC </w:t>
          </w:r>
          <w:r w:rsidR="006317A4" w:rsidRPr="00370C25">
            <w:rPr>
              <w:sz w:val="21"/>
              <w:szCs w:val="21"/>
            </w:rPr>
            <w:t xml:space="preserve">groups </w:t>
          </w:r>
          <w:r w:rsidR="000D6F71" w:rsidRPr="00370C25">
            <w:rPr>
              <w:sz w:val="21"/>
              <w:szCs w:val="21"/>
            </w:rPr>
            <w:t>of 13 and 12 individuals</w:t>
          </w:r>
          <w:r w:rsidR="00F50E41" w:rsidRPr="00370C25">
            <w:rPr>
              <w:sz w:val="21"/>
              <w:szCs w:val="21"/>
            </w:rPr>
            <w:t>,</w:t>
          </w:r>
          <w:r w:rsidR="000D6F71" w:rsidRPr="00370C25">
            <w:rPr>
              <w:sz w:val="21"/>
              <w:szCs w:val="21"/>
            </w:rPr>
            <w:t xml:space="preserve"> respectively. These tubes were then centrifuged at 3000 rpm for 10 </w:t>
          </w:r>
          <w:proofErr w:type="gramStart"/>
          <w:r w:rsidR="000D6F71" w:rsidRPr="00370C25">
            <w:rPr>
              <w:sz w:val="21"/>
              <w:szCs w:val="21"/>
            </w:rPr>
            <w:t>min</w:t>
          </w:r>
          <w:proofErr w:type="gramEnd"/>
          <w:r w:rsidR="000D6F71" w:rsidRPr="00370C25">
            <w:rPr>
              <w:sz w:val="21"/>
              <w:szCs w:val="21"/>
            </w:rPr>
            <w:t xml:space="preserve"> and the serum was collected and stored at -80°C until use</w:t>
          </w:r>
        </w:sdtContent>
      </w:sdt>
      <w:r w:rsidR="00F50E41" w:rsidRPr="00370C25">
        <w:rPr>
          <w:color w:val="A6A6A6"/>
          <w:sz w:val="21"/>
          <w:szCs w:val="21"/>
          <w:lang w:eastAsia="en-US"/>
        </w:rPr>
        <w:t>.</w:t>
      </w:r>
    </w:p>
    <w:p w14:paraId="55FD24B7" w14:textId="77777777" w:rsidR="000D6F71" w:rsidRPr="00370C25" w:rsidRDefault="000D6F71" w:rsidP="000D6F71">
      <w:pPr>
        <w:pStyle w:val="05-ArticleText"/>
        <w:spacing w:after="0"/>
        <w:rPr>
          <w:color w:val="A6A6A6"/>
          <w:sz w:val="21"/>
          <w:szCs w:val="21"/>
          <w:lang w:eastAsia="en-US"/>
        </w:rPr>
      </w:pPr>
    </w:p>
    <w:p w14:paraId="729E26AF" w14:textId="5A33EFDC" w:rsidR="000D6F71" w:rsidRPr="00370C25" w:rsidRDefault="00000000" w:rsidP="00C33410">
      <w:pPr>
        <w:pStyle w:val="05-ArticleText"/>
        <w:rPr>
          <w:color w:val="A6A6A6"/>
          <w:sz w:val="21"/>
          <w:szCs w:val="21"/>
          <w:lang w:eastAsia="en-US"/>
        </w:rPr>
      </w:pPr>
      <w:sdt>
        <w:sdtPr>
          <w:rPr>
            <w:color w:val="A6A6A6"/>
            <w:sz w:val="21"/>
            <w:szCs w:val="21"/>
            <w:lang w:eastAsia="en-US"/>
          </w:rPr>
          <w:id w:val="1675913671"/>
          <w:placeholder>
            <w:docPart w:val="793A61C3C215442F931888B0CE3A8ED9"/>
          </w:placeholder>
        </w:sdtPr>
        <w:sdtContent>
          <w:r w:rsidR="000D6F71" w:rsidRPr="00370C25">
            <w:rPr>
              <w:b/>
              <w:bCs/>
              <w:sz w:val="21"/>
              <w:szCs w:val="21"/>
            </w:rPr>
            <w:t>2.2. Serological evaluation of NGF and BDNF</w:t>
          </w:r>
        </w:sdtContent>
      </w:sdt>
    </w:p>
    <w:p w14:paraId="5055F5F2" w14:textId="6A0BFD74" w:rsidR="000D6F71" w:rsidRPr="00370C25" w:rsidRDefault="000D6F71" w:rsidP="000D6F71">
      <w:pPr>
        <w:ind w:firstLine="284"/>
        <w:jc w:val="both"/>
        <w:rPr>
          <w:sz w:val="21"/>
          <w:szCs w:val="21"/>
        </w:rPr>
      </w:pPr>
      <w:r w:rsidRPr="00370C25">
        <w:rPr>
          <w:sz w:val="21"/>
          <w:szCs w:val="21"/>
        </w:rPr>
        <w:t xml:space="preserve">Serum NGF and BDNF levels were evaluated using commercially available enzyme-linked immunosorbent assay (ELISA) kits [Human NGF/NGF beta ELISA Kit EZ-Set™ (Boster Biological Technology, USA, Catalog # EZ0469) and Human/Mouse BDNF </w:t>
      </w:r>
      <w:proofErr w:type="spellStart"/>
      <w:r w:rsidRPr="00370C25">
        <w:rPr>
          <w:sz w:val="21"/>
          <w:szCs w:val="21"/>
        </w:rPr>
        <w:t>DuoSet</w:t>
      </w:r>
      <w:proofErr w:type="spellEnd"/>
      <w:r w:rsidRPr="00370C25">
        <w:rPr>
          <w:sz w:val="21"/>
          <w:szCs w:val="21"/>
        </w:rPr>
        <w:t xml:space="preserve"> ELISA (R&amp;D Systems, USA, Catalog # DY248)], according to the manufacturers' protocol. </w:t>
      </w:r>
      <w:r w:rsidR="005A1591" w:rsidRPr="00370C25">
        <w:rPr>
          <w:sz w:val="21"/>
          <w:szCs w:val="21"/>
        </w:rPr>
        <w:t xml:space="preserve">The measurement range of the kits is 15.6-1000 </w:t>
      </w:r>
      <w:proofErr w:type="spellStart"/>
      <w:r w:rsidR="005A1591" w:rsidRPr="00370C25">
        <w:rPr>
          <w:sz w:val="21"/>
          <w:szCs w:val="21"/>
        </w:rPr>
        <w:t>pg</w:t>
      </w:r>
      <w:proofErr w:type="spellEnd"/>
      <w:r w:rsidR="005A1591" w:rsidRPr="00370C25">
        <w:rPr>
          <w:sz w:val="21"/>
          <w:szCs w:val="21"/>
        </w:rPr>
        <w:t xml:space="preserve">/ml and 23.4-1500 </w:t>
      </w:r>
      <w:proofErr w:type="spellStart"/>
      <w:r w:rsidR="005A1591" w:rsidRPr="00370C25">
        <w:rPr>
          <w:sz w:val="21"/>
          <w:szCs w:val="21"/>
        </w:rPr>
        <w:t>pg</w:t>
      </w:r>
      <w:proofErr w:type="spellEnd"/>
      <w:r w:rsidR="005A1591" w:rsidRPr="00370C25">
        <w:rPr>
          <w:sz w:val="21"/>
          <w:szCs w:val="21"/>
        </w:rPr>
        <w:t xml:space="preserve">/ml for NGF and BDNF, respectively. </w:t>
      </w:r>
      <w:r w:rsidRPr="00370C25">
        <w:rPr>
          <w:sz w:val="21"/>
          <w:szCs w:val="21"/>
        </w:rPr>
        <w:t>The kits were both based on an indirect assay with an antigen-anti</w:t>
      </w:r>
      <w:r w:rsidR="00D303B0" w:rsidRPr="00370C25">
        <w:rPr>
          <w:sz w:val="21"/>
          <w:szCs w:val="21"/>
        </w:rPr>
        <w:t>body complex and a conjugated antibody,</w:t>
      </w:r>
      <w:r w:rsidRPr="00370C25">
        <w:rPr>
          <w:sz w:val="21"/>
          <w:szCs w:val="21"/>
        </w:rPr>
        <w:t xml:space="preserve"> using HRP-Streptavidin as a </w:t>
      </w:r>
      <w:r w:rsidRPr="00370C25">
        <w:rPr>
          <w:sz w:val="21"/>
          <w:szCs w:val="21"/>
        </w:rPr>
        <w:lastRenderedPageBreak/>
        <w:t>detection</w:t>
      </w:r>
      <w:r w:rsidR="00D303B0" w:rsidRPr="00370C25">
        <w:rPr>
          <w:sz w:val="21"/>
          <w:szCs w:val="21"/>
        </w:rPr>
        <w:t xml:space="preserve"> substrate</w:t>
      </w:r>
      <w:r w:rsidRPr="00370C25">
        <w:rPr>
          <w:sz w:val="21"/>
          <w:szCs w:val="21"/>
        </w:rPr>
        <w:t>. Absorptions were measured at 450 nm with a Microplate Multimode Reader (</w:t>
      </w:r>
      <w:proofErr w:type="spellStart"/>
      <w:r w:rsidRPr="00370C25">
        <w:rPr>
          <w:sz w:val="21"/>
          <w:szCs w:val="21"/>
        </w:rPr>
        <w:t>Biorad</w:t>
      </w:r>
      <w:proofErr w:type="spellEnd"/>
      <w:r w:rsidRPr="00370C25">
        <w:rPr>
          <w:sz w:val="21"/>
          <w:szCs w:val="21"/>
        </w:rPr>
        <w:t>). Concentrations in each sample were calculated from the standard curve, obtained by plotting absorbance versus known standard concentrations, using the “Four Parameter Logistic Curve” online data analysis tool (</w:t>
      </w:r>
      <w:proofErr w:type="spellStart"/>
      <w:r w:rsidRPr="00370C25">
        <w:rPr>
          <w:sz w:val="21"/>
          <w:szCs w:val="21"/>
        </w:rPr>
        <w:t>MyAssays</w:t>
      </w:r>
      <w:proofErr w:type="spellEnd"/>
      <w:r w:rsidRPr="00370C25">
        <w:rPr>
          <w:sz w:val="21"/>
          <w:szCs w:val="21"/>
        </w:rPr>
        <w:t xml:space="preserve"> Ltd.). NGF and BDNF concentrations were expressed as </w:t>
      </w:r>
      <w:proofErr w:type="spellStart"/>
      <w:r w:rsidRPr="00370C25">
        <w:rPr>
          <w:sz w:val="21"/>
          <w:szCs w:val="21"/>
        </w:rPr>
        <w:t>pg</w:t>
      </w:r>
      <w:proofErr w:type="spellEnd"/>
      <w:r w:rsidRPr="00370C25">
        <w:rPr>
          <w:sz w:val="21"/>
          <w:szCs w:val="21"/>
        </w:rPr>
        <w:t>/ml and ng/ml, respectively.</w:t>
      </w:r>
    </w:p>
    <w:p w14:paraId="2665ECBA" w14:textId="77777777" w:rsidR="000D6F71" w:rsidRPr="00370C25" w:rsidRDefault="000D6F71" w:rsidP="000D6F71">
      <w:pPr>
        <w:ind w:firstLine="284"/>
        <w:jc w:val="both"/>
        <w:rPr>
          <w:sz w:val="21"/>
          <w:szCs w:val="21"/>
        </w:rPr>
      </w:pPr>
    </w:p>
    <w:p w14:paraId="7C63DD0A" w14:textId="1976FAEF" w:rsidR="000D6F71" w:rsidRPr="00370C25" w:rsidRDefault="00000000" w:rsidP="000D6F71">
      <w:pPr>
        <w:jc w:val="both"/>
        <w:rPr>
          <w:sz w:val="21"/>
          <w:szCs w:val="21"/>
        </w:rPr>
      </w:pPr>
      <w:sdt>
        <w:sdtPr>
          <w:rPr>
            <w:color w:val="A6A6A6"/>
            <w:sz w:val="21"/>
            <w:szCs w:val="21"/>
            <w:lang w:eastAsia="en-US"/>
          </w:rPr>
          <w:id w:val="1011333497"/>
          <w:placeholder>
            <w:docPart w:val="46C6A7FD28304C3E9700DEBCD881664A"/>
          </w:placeholder>
        </w:sdtPr>
        <w:sdtContent>
          <w:r w:rsidR="000D6F71" w:rsidRPr="00370C25">
            <w:rPr>
              <w:b/>
              <w:bCs/>
              <w:sz w:val="21"/>
              <w:szCs w:val="21"/>
            </w:rPr>
            <w:t>2.3. Statistical analysis</w:t>
          </w:r>
        </w:sdtContent>
      </w:sdt>
    </w:p>
    <w:p w14:paraId="72804DA3" w14:textId="4E611CE2" w:rsidR="00C33410" w:rsidRPr="00370C25" w:rsidRDefault="00C33410" w:rsidP="000D6F71">
      <w:pPr>
        <w:pStyle w:val="05-ArticleText"/>
        <w:rPr>
          <w:color w:val="000000" w:themeColor="text1"/>
          <w:sz w:val="21"/>
          <w:szCs w:val="21"/>
          <w:lang w:eastAsia="en-US"/>
        </w:rPr>
      </w:pPr>
      <w:r w:rsidRPr="00370C25">
        <w:rPr>
          <w:color w:val="000000" w:themeColor="text1"/>
          <w:sz w:val="21"/>
          <w:szCs w:val="21"/>
          <w:lang w:eastAsia="en-US"/>
        </w:rPr>
        <w:tab/>
      </w:r>
      <w:sdt>
        <w:sdtPr>
          <w:rPr>
            <w:color w:val="000000" w:themeColor="text1"/>
            <w:sz w:val="21"/>
            <w:szCs w:val="21"/>
            <w:lang w:eastAsia="en-US"/>
          </w:rPr>
          <w:id w:val="-1945767917"/>
          <w:placeholder>
            <w:docPart w:val="6A576D02B1884649B7A859755E1583CA"/>
          </w:placeholder>
        </w:sdtPr>
        <w:sdtContent>
          <w:r w:rsidR="000D6F71" w:rsidRPr="00370C25">
            <w:rPr>
              <w:color w:val="000000" w:themeColor="text1"/>
              <w:sz w:val="21"/>
              <w:szCs w:val="21"/>
              <w:lang w:eastAsia="en-US"/>
            </w:rPr>
            <w:t>Data from participants were expressed as number (percentage</w:t>
          </w:r>
          <w:r w:rsidR="00D303B0" w:rsidRPr="00370C25">
            <w:rPr>
              <w:color w:val="000000" w:themeColor="text1"/>
              <w:sz w:val="21"/>
              <w:szCs w:val="21"/>
              <w:lang w:eastAsia="en-US"/>
            </w:rPr>
            <w:t>s</w:t>
          </w:r>
          <w:r w:rsidR="000D6F71" w:rsidRPr="00370C25">
            <w:rPr>
              <w:color w:val="000000" w:themeColor="text1"/>
              <w:sz w:val="21"/>
              <w:szCs w:val="21"/>
              <w:lang w:eastAsia="en-US"/>
            </w:rPr>
            <w:t>) or median</w:t>
          </w:r>
          <w:r w:rsidR="00D303B0" w:rsidRPr="00370C25">
            <w:rPr>
              <w:color w:val="000000" w:themeColor="text1"/>
              <w:sz w:val="21"/>
              <w:szCs w:val="21"/>
              <w:lang w:eastAsia="en-US"/>
            </w:rPr>
            <w:t>s</w:t>
          </w:r>
          <w:r w:rsidR="000D6F71" w:rsidRPr="00370C25">
            <w:rPr>
              <w:color w:val="000000" w:themeColor="text1"/>
              <w:sz w:val="21"/>
              <w:szCs w:val="21"/>
              <w:lang w:eastAsia="en-US"/>
            </w:rPr>
            <w:t xml:space="preserve"> (interquartile range</w:t>
          </w:r>
          <w:r w:rsidR="00D303B0" w:rsidRPr="00370C25">
            <w:rPr>
              <w:color w:val="000000" w:themeColor="text1"/>
              <w:sz w:val="21"/>
              <w:szCs w:val="21"/>
              <w:lang w:eastAsia="en-US"/>
            </w:rPr>
            <w:t>s</w:t>
          </w:r>
          <w:r w:rsidR="000D6F71" w:rsidRPr="00370C25">
            <w:rPr>
              <w:color w:val="000000" w:themeColor="text1"/>
              <w:sz w:val="21"/>
              <w:szCs w:val="21"/>
              <w:lang w:eastAsia="en-US"/>
            </w:rPr>
            <w:t xml:space="preserve">). Demographic characteristics were analyzed using the "N-1" Chi-squared test. Cross-sectional </w:t>
          </w:r>
          <w:r w:rsidR="006317A4" w:rsidRPr="00370C25">
            <w:rPr>
              <w:color w:val="000000" w:themeColor="text1"/>
              <w:sz w:val="21"/>
              <w:szCs w:val="21"/>
              <w:lang w:eastAsia="en-US"/>
            </w:rPr>
            <w:t xml:space="preserve">comparisons between </w:t>
          </w:r>
          <w:r w:rsidR="000D6F71" w:rsidRPr="00370C25">
            <w:rPr>
              <w:color w:val="000000" w:themeColor="text1"/>
              <w:sz w:val="21"/>
              <w:szCs w:val="21"/>
              <w:lang w:eastAsia="en-US"/>
            </w:rPr>
            <w:t xml:space="preserve">PLWH and HC were performed using the Mann–Whitney U test, while correlation analyses were performed using </w:t>
          </w:r>
          <w:r w:rsidR="00D303B0" w:rsidRPr="00370C25">
            <w:rPr>
              <w:color w:val="000000" w:themeColor="text1"/>
              <w:sz w:val="21"/>
              <w:szCs w:val="21"/>
              <w:lang w:eastAsia="en-US"/>
            </w:rPr>
            <w:t xml:space="preserve">the </w:t>
          </w:r>
          <w:r w:rsidR="000D6F71" w:rsidRPr="00370C25">
            <w:rPr>
              <w:color w:val="000000" w:themeColor="text1"/>
              <w:sz w:val="21"/>
              <w:szCs w:val="21"/>
              <w:lang w:eastAsia="en-US"/>
            </w:rPr>
            <w:t xml:space="preserve">Spearman test. Statistical analyses were performed using SPSS software, version 26 (IBM, USA) and GraphPad Prism software, version 9.4 (GraphPad Software Inc., USA). A </w:t>
          </w:r>
          <w:r w:rsidR="000D6F71" w:rsidRPr="00370C25">
            <w:rPr>
              <w:i/>
              <w:iCs/>
              <w:color w:val="000000" w:themeColor="text1"/>
              <w:sz w:val="21"/>
              <w:szCs w:val="21"/>
              <w:lang w:eastAsia="en-US"/>
            </w:rPr>
            <w:t>p</w:t>
          </w:r>
          <w:r w:rsidR="000D6F71" w:rsidRPr="00370C25">
            <w:rPr>
              <w:color w:val="000000" w:themeColor="text1"/>
              <w:sz w:val="21"/>
              <w:szCs w:val="21"/>
              <w:lang w:eastAsia="en-US"/>
            </w:rPr>
            <w:t>-value less than 0.05 was considered statistically significant.</w:t>
          </w:r>
        </w:sdtContent>
      </w:sdt>
      <w:r w:rsidRPr="00370C25">
        <w:rPr>
          <w:color w:val="000000" w:themeColor="text1"/>
          <w:sz w:val="21"/>
          <w:szCs w:val="21"/>
          <w:lang w:eastAsia="en-US"/>
        </w:rPr>
        <w:t xml:space="preserve"> </w:t>
      </w:r>
    </w:p>
    <w:p w14:paraId="3F2F6E0F" w14:textId="45E3F04A" w:rsidR="00C33410" w:rsidRPr="00370C25" w:rsidRDefault="000D6F71" w:rsidP="00C33410">
      <w:pPr>
        <w:pStyle w:val="06-Heading-1"/>
        <w:spacing w:before="240"/>
        <w:rPr>
          <w:bCs/>
        </w:rPr>
      </w:pPr>
      <w:r w:rsidRPr="00370C25">
        <w:rPr>
          <w:bCs/>
        </w:rPr>
        <w:t>3</w:t>
      </w:r>
      <w:r w:rsidR="00C33410" w:rsidRPr="00370C25">
        <w:rPr>
          <w:bCs/>
        </w:rPr>
        <w:t>. RESULTS</w:t>
      </w:r>
    </w:p>
    <w:p w14:paraId="03F0E900" w14:textId="171CFD2B" w:rsidR="000D6F71" w:rsidRPr="00370C25" w:rsidRDefault="00000000" w:rsidP="00C33410">
      <w:pPr>
        <w:pStyle w:val="05-ArticleText"/>
        <w:rPr>
          <w:color w:val="A6A6A6"/>
          <w:sz w:val="21"/>
          <w:szCs w:val="21"/>
          <w:lang w:eastAsia="en-US"/>
        </w:rPr>
      </w:pPr>
      <w:sdt>
        <w:sdtPr>
          <w:rPr>
            <w:color w:val="A6A6A6"/>
            <w:sz w:val="21"/>
            <w:szCs w:val="21"/>
            <w:lang w:eastAsia="en-US"/>
          </w:rPr>
          <w:id w:val="2030672665"/>
          <w:placeholder>
            <w:docPart w:val="7DD5CD39C0C945EE89A1A515EF8E9CAE"/>
          </w:placeholder>
        </w:sdtPr>
        <w:sdtContent>
          <w:r w:rsidR="000D6F71" w:rsidRPr="00370C25">
            <w:rPr>
              <w:b/>
              <w:bCs/>
              <w:sz w:val="21"/>
              <w:szCs w:val="21"/>
            </w:rPr>
            <w:t>3.1. Study Population</w:t>
          </w:r>
        </w:sdtContent>
      </w:sdt>
      <w:r w:rsidR="00C33410" w:rsidRPr="00370C25">
        <w:rPr>
          <w:color w:val="A6A6A6"/>
          <w:sz w:val="21"/>
          <w:szCs w:val="21"/>
          <w:lang w:eastAsia="en-US"/>
        </w:rPr>
        <w:tab/>
      </w:r>
    </w:p>
    <w:sdt>
      <w:sdtPr>
        <w:rPr>
          <w:color w:val="A6A6A6"/>
          <w:sz w:val="21"/>
          <w:szCs w:val="21"/>
          <w:lang w:eastAsia="en-US"/>
        </w:rPr>
        <w:id w:val="-890506529"/>
        <w:placeholder>
          <w:docPart w:val="AFA1F6A560C44B56905B8A899E5F0863"/>
        </w:placeholder>
      </w:sdtPr>
      <w:sdtContent>
        <w:p w14:paraId="53836E3A" w14:textId="0FEDC9EE" w:rsidR="000D6F71" w:rsidRPr="00370C25" w:rsidRDefault="000D6F71" w:rsidP="00D303B0">
          <w:pPr>
            <w:ind w:firstLine="284"/>
            <w:jc w:val="both"/>
            <w:rPr>
              <w:sz w:val="21"/>
              <w:szCs w:val="21"/>
            </w:rPr>
          </w:pPr>
          <w:r w:rsidRPr="00370C25">
            <w:rPr>
              <w:sz w:val="21"/>
              <w:szCs w:val="21"/>
            </w:rPr>
            <w:t>A</w:t>
          </w:r>
          <w:r w:rsidR="00EB002C" w:rsidRPr="00370C25">
            <w:rPr>
              <w:sz w:val="21"/>
              <w:szCs w:val="21"/>
            </w:rPr>
            <w:t>s previously stated, a</w:t>
          </w:r>
          <w:r w:rsidRPr="00370C25">
            <w:rPr>
              <w:sz w:val="21"/>
              <w:szCs w:val="21"/>
            </w:rPr>
            <w:t xml:space="preserve"> total of 50 serum samples were collected from </w:t>
          </w:r>
          <w:bookmarkStart w:id="2" w:name="_Hlk216444902"/>
          <w:r w:rsidRPr="00370C25">
            <w:rPr>
              <w:sz w:val="21"/>
              <w:szCs w:val="21"/>
            </w:rPr>
            <w:t xml:space="preserve">13 ART-naïve and 12 ART-treated PLWH, </w:t>
          </w:r>
          <w:bookmarkStart w:id="3" w:name="_Hlk215049428"/>
          <w:r w:rsidRPr="00370C25">
            <w:rPr>
              <w:sz w:val="21"/>
              <w:szCs w:val="21"/>
            </w:rPr>
            <w:t>and from two groups of age- and sex-matched HC</w:t>
          </w:r>
          <w:r w:rsidR="00D303B0" w:rsidRPr="00370C25">
            <w:rPr>
              <w:sz w:val="21"/>
              <w:szCs w:val="21"/>
            </w:rPr>
            <w:t>:</w:t>
          </w:r>
          <w:r w:rsidRPr="00370C25">
            <w:rPr>
              <w:sz w:val="21"/>
              <w:szCs w:val="21"/>
            </w:rPr>
            <w:t xml:space="preserve"> 13</w:t>
          </w:r>
          <w:r w:rsidR="00D303B0" w:rsidRPr="00370C25">
            <w:rPr>
              <w:sz w:val="21"/>
              <w:szCs w:val="21"/>
            </w:rPr>
            <w:t xml:space="preserve"> individuals</w:t>
          </w:r>
          <w:r w:rsidR="00F50E41" w:rsidRPr="00370C25">
            <w:rPr>
              <w:sz w:val="21"/>
              <w:szCs w:val="21"/>
            </w:rPr>
            <w:t xml:space="preserve"> (group 1)</w:t>
          </w:r>
          <w:r w:rsidRPr="00370C25">
            <w:rPr>
              <w:sz w:val="21"/>
              <w:szCs w:val="21"/>
            </w:rPr>
            <w:t xml:space="preserve"> and 12 individuals</w:t>
          </w:r>
          <w:r w:rsidR="00F50E41" w:rsidRPr="00370C25">
            <w:rPr>
              <w:sz w:val="21"/>
              <w:szCs w:val="21"/>
            </w:rPr>
            <w:t xml:space="preserve"> (group 2)</w:t>
          </w:r>
          <w:bookmarkEnd w:id="2"/>
          <w:bookmarkEnd w:id="3"/>
          <w:r w:rsidRPr="00370C25">
            <w:rPr>
              <w:sz w:val="21"/>
              <w:szCs w:val="21"/>
            </w:rPr>
            <w:t xml:space="preserve">. Due to the age difference, no comparative analyses were conducted between the two groups of PLWH, but each group was compared only with its corresponding HIV-negative control group. The demographic, virological and clinical characteristics of all groups are shown in </w:t>
          </w:r>
          <w:r w:rsidRPr="00370C25">
            <w:rPr>
              <w:b/>
              <w:bCs/>
              <w:sz w:val="21"/>
              <w:szCs w:val="21"/>
            </w:rPr>
            <w:t xml:space="preserve">Table 1. </w:t>
          </w:r>
          <w:r w:rsidRPr="00370C25">
            <w:rPr>
              <w:sz w:val="21"/>
              <w:szCs w:val="21"/>
            </w:rPr>
            <w:t>No age difference was found between HC group 1 and ART-</w:t>
          </w:r>
          <w:proofErr w:type="gramStart"/>
          <w:r w:rsidRPr="00370C25">
            <w:rPr>
              <w:sz w:val="21"/>
              <w:szCs w:val="21"/>
            </w:rPr>
            <w:t>naïve</w:t>
          </w:r>
          <w:proofErr w:type="gramEnd"/>
          <w:r w:rsidRPr="00370C25">
            <w:rPr>
              <w:sz w:val="21"/>
              <w:szCs w:val="21"/>
            </w:rPr>
            <w:t xml:space="preserve"> PLWH (p = 0.3679), as well as HC group 2 and ART-treated PLWH (p = 0.9663). The different ART </w:t>
          </w:r>
          <w:r w:rsidR="00F50E41" w:rsidRPr="00370C25">
            <w:rPr>
              <w:sz w:val="21"/>
              <w:szCs w:val="21"/>
            </w:rPr>
            <w:t xml:space="preserve">regimens </w:t>
          </w:r>
          <w:r w:rsidRPr="00370C25">
            <w:rPr>
              <w:sz w:val="21"/>
              <w:szCs w:val="21"/>
            </w:rPr>
            <w:t xml:space="preserve">currently used </w:t>
          </w:r>
          <w:r w:rsidR="006317A4" w:rsidRPr="00370C25">
            <w:rPr>
              <w:sz w:val="21"/>
              <w:szCs w:val="21"/>
            </w:rPr>
            <w:t>in the study population</w:t>
          </w:r>
          <w:r w:rsidRPr="00370C25">
            <w:rPr>
              <w:sz w:val="21"/>
              <w:szCs w:val="21"/>
            </w:rPr>
            <w:t xml:space="preserve"> are shown in </w:t>
          </w:r>
          <w:r w:rsidRPr="00370C25">
            <w:rPr>
              <w:b/>
              <w:bCs/>
              <w:sz w:val="21"/>
              <w:szCs w:val="21"/>
            </w:rPr>
            <w:t>Table 2</w:t>
          </w:r>
          <w:r w:rsidRPr="00370C25">
            <w:rPr>
              <w:sz w:val="21"/>
              <w:szCs w:val="21"/>
            </w:rPr>
            <w:t>.</w:t>
          </w:r>
        </w:p>
      </w:sdtContent>
    </w:sdt>
    <w:p w14:paraId="7889EA6C" w14:textId="77777777" w:rsidR="00F42807" w:rsidRPr="00370C25" w:rsidRDefault="00F42807" w:rsidP="000D6F71">
      <w:pPr>
        <w:pStyle w:val="Nessunaspaziatura"/>
        <w:jc w:val="both"/>
        <w:rPr>
          <w:b/>
          <w:sz w:val="18"/>
          <w:szCs w:val="18"/>
        </w:rPr>
      </w:pPr>
    </w:p>
    <w:p w14:paraId="7C400440" w14:textId="21DBF858" w:rsidR="000D6F71" w:rsidRPr="00370C25" w:rsidRDefault="000D6F71" w:rsidP="000D6F71">
      <w:pPr>
        <w:pStyle w:val="Nessunaspaziatura"/>
        <w:jc w:val="both"/>
        <w:rPr>
          <w:color w:val="A6A6A6"/>
          <w:sz w:val="18"/>
          <w:szCs w:val="18"/>
          <w:lang w:eastAsia="en-US"/>
        </w:rPr>
      </w:pPr>
      <w:r w:rsidRPr="00370C25">
        <w:rPr>
          <w:b/>
          <w:sz w:val="18"/>
          <w:szCs w:val="18"/>
        </w:rPr>
        <w:t>Table 1.</w:t>
      </w:r>
      <w:r w:rsidRPr="00370C25">
        <w:rPr>
          <w:sz w:val="18"/>
          <w:szCs w:val="18"/>
        </w:rPr>
        <w:t xml:space="preserve"> </w:t>
      </w:r>
      <w:sdt>
        <w:sdtPr>
          <w:rPr>
            <w:sz w:val="18"/>
            <w:szCs w:val="18"/>
          </w:rPr>
          <w:id w:val="-1206704246"/>
          <w:placeholder>
            <w:docPart w:val="4240DEC1227A4159B030532203B7C8FC"/>
          </w:placeholder>
        </w:sdtPr>
        <w:sdtEndPr>
          <w:rPr>
            <w:color w:val="A6A6A6"/>
            <w:lang w:eastAsia="en-US"/>
          </w:rPr>
        </w:sdtEndPr>
        <w:sdtContent>
          <w:r w:rsidR="00AF02DC" w:rsidRPr="00370C25">
            <w:rPr>
              <w:sz w:val="18"/>
              <w:szCs w:val="18"/>
            </w:rPr>
            <w:t>Demographic, virological and clinical characteristics of PLWH and HIV-negative individuals</w:t>
          </w:r>
        </w:sdtContent>
      </w:sdt>
    </w:p>
    <w:p w14:paraId="3EEFF6B3" w14:textId="77777777" w:rsidR="000D6F71" w:rsidRPr="00370C25" w:rsidRDefault="000D6F71" w:rsidP="000D6F71">
      <w:pPr>
        <w:pStyle w:val="Nessunaspaziatura"/>
        <w:rPr>
          <w:color w:val="333333"/>
          <w:sz w:val="21"/>
          <w:szCs w:val="21"/>
          <w:lang w:eastAsia="en-US"/>
        </w:rPr>
      </w:pPr>
    </w:p>
    <w:tbl>
      <w:tblPr>
        <w:tblW w:w="4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0"/>
        <w:gridCol w:w="1134"/>
        <w:gridCol w:w="851"/>
        <w:gridCol w:w="1082"/>
      </w:tblGrid>
      <w:tr w:rsidR="00AF02DC" w:rsidRPr="00370C25" w14:paraId="5D75E8EB" w14:textId="3EE5EA13" w:rsidTr="00845FD4">
        <w:trPr>
          <w:jc w:val="center"/>
        </w:trPr>
        <w:tc>
          <w:tcPr>
            <w:tcW w:w="988" w:type="dxa"/>
            <w:shd w:val="clear" w:color="auto" w:fill="BFBFBF"/>
            <w:vAlign w:val="center"/>
          </w:tcPr>
          <w:p w14:paraId="16D7F6CA" w14:textId="544A64C2" w:rsidR="00AF02DC" w:rsidRPr="00370C25" w:rsidRDefault="00AF02DC" w:rsidP="00D31F62">
            <w:pPr>
              <w:pStyle w:val="11-Table-T"/>
              <w:rPr>
                <w:b/>
                <w:color w:val="333333"/>
                <w:sz w:val="14"/>
                <w:szCs w:val="18"/>
                <w:lang w:eastAsia="en-US"/>
              </w:rPr>
            </w:pPr>
            <w:r w:rsidRPr="00370C25">
              <w:rPr>
                <w:b/>
                <w:sz w:val="14"/>
                <w:szCs w:val="18"/>
              </w:rPr>
              <w:t>Parameters</w:t>
            </w:r>
          </w:p>
        </w:tc>
        <w:tc>
          <w:tcPr>
            <w:tcW w:w="850" w:type="dxa"/>
            <w:shd w:val="clear" w:color="auto" w:fill="BFBFBF"/>
            <w:vAlign w:val="center"/>
          </w:tcPr>
          <w:p w14:paraId="76235AFA" w14:textId="20BA87D2" w:rsidR="00AF02DC" w:rsidRPr="00370C25" w:rsidRDefault="00AF02DC" w:rsidP="00D31F62">
            <w:pPr>
              <w:pStyle w:val="11-Table-T"/>
              <w:rPr>
                <w:b/>
                <w:color w:val="333333"/>
                <w:sz w:val="14"/>
                <w:szCs w:val="18"/>
                <w:lang w:eastAsia="en-US"/>
              </w:rPr>
            </w:pPr>
            <w:r w:rsidRPr="00370C25">
              <w:rPr>
                <w:b/>
                <w:color w:val="333333"/>
                <w:sz w:val="14"/>
                <w:szCs w:val="18"/>
                <w:lang w:eastAsia="en-US"/>
              </w:rPr>
              <w:t>HC group 1 (n=13)</w:t>
            </w:r>
          </w:p>
        </w:tc>
        <w:tc>
          <w:tcPr>
            <w:tcW w:w="1134" w:type="dxa"/>
            <w:shd w:val="clear" w:color="auto" w:fill="BFBFBF"/>
            <w:vAlign w:val="center"/>
          </w:tcPr>
          <w:p w14:paraId="4566207B" w14:textId="5501E1EA" w:rsidR="00AF02DC" w:rsidRPr="00370C25" w:rsidRDefault="00AF02DC" w:rsidP="00D31F62">
            <w:pPr>
              <w:pStyle w:val="11-Table-T"/>
              <w:rPr>
                <w:b/>
                <w:color w:val="333333"/>
                <w:sz w:val="14"/>
                <w:szCs w:val="18"/>
                <w:lang w:eastAsia="en-US"/>
              </w:rPr>
            </w:pPr>
            <w:r w:rsidRPr="00370C25">
              <w:rPr>
                <w:b/>
                <w:color w:val="333333"/>
                <w:sz w:val="14"/>
                <w:szCs w:val="18"/>
                <w:lang w:eastAsia="en-US"/>
              </w:rPr>
              <w:t>ART-</w:t>
            </w:r>
            <w:proofErr w:type="gramStart"/>
            <w:r w:rsidRPr="00370C25">
              <w:rPr>
                <w:b/>
                <w:color w:val="333333"/>
                <w:sz w:val="14"/>
                <w:szCs w:val="18"/>
                <w:lang w:eastAsia="en-US"/>
              </w:rPr>
              <w:t>naïve</w:t>
            </w:r>
            <w:proofErr w:type="gramEnd"/>
            <w:r w:rsidRPr="00370C25">
              <w:rPr>
                <w:b/>
                <w:color w:val="333333"/>
                <w:sz w:val="14"/>
                <w:szCs w:val="18"/>
                <w:lang w:eastAsia="en-US"/>
              </w:rPr>
              <w:t xml:space="preserve"> PLWH (n=13)</w:t>
            </w:r>
          </w:p>
        </w:tc>
        <w:tc>
          <w:tcPr>
            <w:tcW w:w="851" w:type="dxa"/>
            <w:shd w:val="clear" w:color="auto" w:fill="BFBFBF"/>
            <w:vAlign w:val="center"/>
          </w:tcPr>
          <w:p w14:paraId="79F8EBAB" w14:textId="702C2900" w:rsidR="00AF02DC" w:rsidRPr="00370C25" w:rsidRDefault="00AF02DC" w:rsidP="00D31F62">
            <w:pPr>
              <w:pStyle w:val="11-Table-T"/>
              <w:rPr>
                <w:b/>
                <w:color w:val="333333"/>
                <w:sz w:val="14"/>
                <w:szCs w:val="18"/>
                <w:lang w:eastAsia="en-US"/>
              </w:rPr>
            </w:pPr>
            <w:r w:rsidRPr="00370C25">
              <w:rPr>
                <w:b/>
                <w:color w:val="333333"/>
                <w:sz w:val="14"/>
                <w:szCs w:val="18"/>
                <w:lang w:eastAsia="en-US"/>
              </w:rPr>
              <w:t>HC group 2 (n=12)</w:t>
            </w:r>
          </w:p>
        </w:tc>
        <w:tc>
          <w:tcPr>
            <w:tcW w:w="1082" w:type="dxa"/>
            <w:shd w:val="clear" w:color="auto" w:fill="BFBFBF" w:themeFill="background1" w:themeFillShade="BF"/>
            <w:vAlign w:val="center"/>
          </w:tcPr>
          <w:p w14:paraId="1551C0F5" w14:textId="210CE6CB" w:rsidR="00AF02DC" w:rsidRPr="00370C25" w:rsidRDefault="00AF02DC" w:rsidP="00D31F62">
            <w:pPr>
              <w:pStyle w:val="11-Table-T"/>
              <w:rPr>
                <w:b/>
                <w:sz w:val="14"/>
                <w:szCs w:val="18"/>
              </w:rPr>
            </w:pPr>
            <w:r w:rsidRPr="00370C25">
              <w:rPr>
                <w:b/>
                <w:sz w:val="14"/>
                <w:szCs w:val="18"/>
              </w:rPr>
              <w:t>ART-treated PLWH (n=12)</w:t>
            </w:r>
          </w:p>
        </w:tc>
      </w:tr>
      <w:tr w:rsidR="00AF02DC" w:rsidRPr="00370C25" w14:paraId="191423D2" w14:textId="7C64399D" w:rsidTr="00845FD4">
        <w:trPr>
          <w:jc w:val="center"/>
        </w:trPr>
        <w:tc>
          <w:tcPr>
            <w:tcW w:w="988" w:type="dxa"/>
            <w:vAlign w:val="center"/>
          </w:tcPr>
          <w:p w14:paraId="0F756B7F" w14:textId="6340DA51" w:rsidR="00AF02DC" w:rsidRPr="00370C25" w:rsidRDefault="00AF02DC" w:rsidP="00AF02DC">
            <w:pPr>
              <w:pStyle w:val="11-Table-T"/>
              <w:rPr>
                <w:color w:val="333333"/>
                <w:sz w:val="14"/>
                <w:szCs w:val="18"/>
                <w:lang w:eastAsia="en-US"/>
              </w:rPr>
            </w:pPr>
            <w:r w:rsidRPr="00370C25">
              <w:rPr>
                <w:sz w:val="14"/>
                <w:szCs w:val="18"/>
              </w:rPr>
              <w:t>Sex assigned at birth. Male</w:t>
            </w:r>
          </w:p>
        </w:tc>
        <w:tc>
          <w:tcPr>
            <w:tcW w:w="850" w:type="dxa"/>
            <w:vAlign w:val="center"/>
          </w:tcPr>
          <w:p w14:paraId="26A99EBC" w14:textId="6F8F7B49" w:rsidR="00AF02DC" w:rsidRPr="00370C25" w:rsidRDefault="00AF02DC" w:rsidP="00AF02DC">
            <w:pPr>
              <w:pStyle w:val="11-Table-T"/>
              <w:rPr>
                <w:color w:val="333333"/>
                <w:sz w:val="14"/>
                <w:szCs w:val="18"/>
                <w:lang w:eastAsia="en-US"/>
              </w:rPr>
            </w:pPr>
            <w:r w:rsidRPr="00370C25">
              <w:rPr>
                <w:sz w:val="14"/>
                <w:szCs w:val="18"/>
              </w:rPr>
              <w:t>13 (100%)</w:t>
            </w:r>
          </w:p>
        </w:tc>
        <w:tc>
          <w:tcPr>
            <w:tcW w:w="1134" w:type="dxa"/>
            <w:vAlign w:val="center"/>
          </w:tcPr>
          <w:p w14:paraId="543B6398" w14:textId="2FF7D284" w:rsidR="00AF02DC" w:rsidRPr="00370C25" w:rsidRDefault="00AF02DC" w:rsidP="00AF02DC">
            <w:pPr>
              <w:pStyle w:val="11-Table-T"/>
              <w:rPr>
                <w:color w:val="333333"/>
                <w:sz w:val="14"/>
                <w:szCs w:val="18"/>
                <w:lang w:eastAsia="en-US"/>
              </w:rPr>
            </w:pPr>
            <w:r w:rsidRPr="00370C25">
              <w:rPr>
                <w:sz w:val="14"/>
                <w:szCs w:val="18"/>
              </w:rPr>
              <w:t>13 (100%)</w:t>
            </w:r>
          </w:p>
        </w:tc>
        <w:tc>
          <w:tcPr>
            <w:tcW w:w="851" w:type="dxa"/>
            <w:vAlign w:val="center"/>
          </w:tcPr>
          <w:p w14:paraId="05689B22" w14:textId="1ADD242E" w:rsidR="00AF02DC" w:rsidRPr="00370C25" w:rsidRDefault="00AF02DC" w:rsidP="00AF02DC">
            <w:pPr>
              <w:pStyle w:val="11-Table-T"/>
              <w:rPr>
                <w:color w:val="333333"/>
                <w:sz w:val="14"/>
                <w:szCs w:val="18"/>
                <w:lang w:eastAsia="en-US"/>
              </w:rPr>
            </w:pPr>
            <w:r w:rsidRPr="00370C25">
              <w:rPr>
                <w:sz w:val="14"/>
                <w:szCs w:val="18"/>
              </w:rPr>
              <w:t>12 (100%)</w:t>
            </w:r>
          </w:p>
        </w:tc>
        <w:tc>
          <w:tcPr>
            <w:tcW w:w="1082" w:type="dxa"/>
            <w:vAlign w:val="center"/>
          </w:tcPr>
          <w:p w14:paraId="2C03283C" w14:textId="30C1BCD2" w:rsidR="00AF02DC" w:rsidRPr="00370C25" w:rsidRDefault="00AF02DC" w:rsidP="00AF02DC">
            <w:pPr>
              <w:pStyle w:val="11-Table-T"/>
              <w:rPr>
                <w:color w:val="333333"/>
                <w:sz w:val="14"/>
                <w:szCs w:val="18"/>
                <w:lang w:eastAsia="en-US"/>
              </w:rPr>
            </w:pPr>
            <w:r w:rsidRPr="00370C25">
              <w:rPr>
                <w:sz w:val="14"/>
                <w:szCs w:val="18"/>
              </w:rPr>
              <w:t>12 (100%)</w:t>
            </w:r>
          </w:p>
        </w:tc>
      </w:tr>
      <w:tr w:rsidR="00AF02DC" w:rsidRPr="00370C25" w14:paraId="58B3D80B" w14:textId="102B445E" w:rsidTr="00845FD4">
        <w:trPr>
          <w:jc w:val="center"/>
        </w:trPr>
        <w:tc>
          <w:tcPr>
            <w:tcW w:w="988" w:type="dxa"/>
            <w:vAlign w:val="center"/>
          </w:tcPr>
          <w:p w14:paraId="34AEF92B" w14:textId="21700905" w:rsidR="00AF02DC" w:rsidRPr="00370C25" w:rsidRDefault="00AF02DC" w:rsidP="00AF02DC">
            <w:pPr>
              <w:pStyle w:val="11-Table-T"/>
              <w:rPr>
                <w:color w:val="333333"/>
                <w:sz w:val="14"/>
                <w:szCs w:val="18"/>
                <w:lang w:eastAsia="en-US"/>
              </w:rPr>
            </w:pPr>
            <w:r w:rsidRPr="00370C25">
              <w:rPr>
                <w:sz w:val="14"/>
                <w:szCs w:val="18"/>
              </w:rPr>
              <w:t>Age (years)</w:t>
            </w:r>
          </w:p>
        </w:tc>
        <w:tc>
          <w:tcPr>
            <w:tcW w:w="850" w:type="dxa"/>
            <w:tcBorders>
              <w:bottom w:val="single" w:sz="4" w:space="0" w:color="auto"/>
            </w:tcBorders>
            <w:vAlign w:val="center"/>
          </w:tcPr>
          <w:p w14:paraId="3799C435" w14:textId="49CC1B25" w:rsidR="00AF02DC" w:rsidRPr="00370C25" w:rsidRDefault="00AF02DC" w:rsidP="00AF02DC">
            <w:pPr>
              <w:pStyle w:val="11-Table-T"/>
              <w:rPr>
                <w:color w:val="333333"/>
                <w:sz w:val="14"/>
                <w:szCs w:val="18"/>
                <w:lang w:eastAsia="en-US"/>
              </w:rPr>
            </w:pPr>
            <w:r w:rsidRPr="00370C25">
              <w:rPr>
                <w:sz w:val="14"/>
                <w:szCs w:val="18"/>
              </w:rPr>
              <w:t>49 [45-56]</w:t>
            </w:r>
          </w:p>
        </w:tc>
        <w:tc>
          <w:tcPr>
            <w:tcW w:w="1134" w:type="dxa"/>
            <w:vAlign w:val="center"/>
          </w:tcPr>
          <w:p w14:paraId="2108FA13" w14:textId="22E4024A" w:rsidR="00AF02DC" w:rsidRPr="00370C25" w:rsidRDefault="00AF02DC" w:rsidP="00AF02DC">
            <w:pPr>
              <w:pStyle w:val="11-Table-T"/>
              <w:rPr>
                <w:color w:val="333333"/>
                <w:sz w:val="14"/>
                <w:szCs w:val="18"/>
                <w:lang w:eastAsia="en-US"/>
              </w:rPr>
            </w:pPr>
            <w:r w:rsidRPr="00370C25">
              <w:rPr>
                <w:sz w:val="14"/>
                <w:szCs w:val="18"/>
              </w:rPr>
              <w:t>47 [43-54]</w:t>
            </w:r>
          </w:p>
        </w:tc>
        <w:tc>
          <w:tcPr>
            <w:tcW w:w="851" w:type="dxa"/>
            <w:tcBorders>
              <w:bottom w:val="single" w:sz="4" w:space="0" w:color="auto"/>
            </w:tcBorders>
            <w:vAlign w:val="center"/>
          </w:tcPr>
          <w:p w14:paraId="706E760E" w14:textId="3833F5CE" w:rsidR="00AF02DC" w:rsidRPr="00370C25" w:rsidRDefault="00AF02DC" w:rsidP="00AF02DC">
            <w:pPr>
              <w:pStyle w:val="11-Table-T"/>
              <w:rPr>
                <w:color w:val="333333"/>
                <w:sz w:val="14"/>
                <w:szCs w:val="18"/>
                <w:lang w:eastAsia="en-US"/>
              </w:rPr>
            </w:pPr>
            <w:r w:rsidRPr="00370C25">
              <w:rPr>
                <w:sz w:val="14"/>
                <w:szCs w:val="18"/>
              </w:rPr>
              <w:t>61 [56-73]</w:t>
            </w:r>
          </w:p>
        </w:tc>
        <w:tc>
          <w:tcPr>
            <w:tcW w:w="1082" w:type="dxa"/>
            <w:vAlign w:val="center"/>
          </w:tcPr>
          <w:p w14:paraId="66EA70F6" w14:textId="3C69A2AC" w:rsidR="00AF02DC" w:rsidRPr="00370C25" w:rsidRDefault="00AF02DC" w:rsidP="00AF02DC">
            <w:pPr>
              <w:pStyle w:val="11-Table-T"/>
              <w:rPr>
                <w:color w:val="333333"/>
                <w:sz w:val="14"/>
                <w:szCs w:val="18"/>
                <w:lang w:eastAsia="en-US"/>
              </w:rPr>
            </w:pPr>
            <w:r w:rsidRPr="00370C25">
              <w:rPr>
                <w:sz w:val="14"/>
                <w:szCs w:val="18"/>
              </w:rPr>
              <w:t>65 [54-73]</w:t>
            </w:r>
          </w:p>
        </w:tc>
      </w:tr>
      <w:tr w:rsidR="00AF02DC" w:rsidRPr="00370C25" w14:paraId="228CEF44" w14:textId="4AFC6AA7" w:rsidTr="00845FD4">
        <w:trPr>
          <w:jc w:val="center"/>
        </w:trPr>
        <w:tc>
          <w:tcPr>
            <w:tcW w:w="988" w:type="dxa"/>
            <w:tcBorders>
              <w:right w:val="single" w:sz="4" w:space="0" w:color="auto"/>
            </w:tcBorders>
            <w:vAlign w:val="center"/>
          </w:tcPr>
          <w:p w14:paraId="0673F9A3" w14:textId="1D7ABD7B" w:rsidR="00AF02DC" w:rsidRPr="00370C25" w:rsidRDefault="00AF02DC" w:rsidP="00AF02DC">
            <w:pPr>
              <w:pStyle w:val="11-Table-T"/>
              <w:rPr>
                <w:color w:val="333333"/>
                <w:sz w:val="14"/>
                <w:szCs w:val="18"/>
                <w:lang w:eastAsia="en-US"/>
              </w:rPr>
            </w:pPr>
            <w:r w:rsidRPr="00370C25">
              <w:rPr>
                <w:sz w:val="14"/>
                <w:szCs w:val="18"/>
              </w:rPr>
              <w:t>Zenith blood HIV-1 RNA levels (copies/mL)</w:t>
            </w:r>
          </w:p>
        </w:tc>
        <w:tc>
          <w:tcPr>
            <w:tcW w:w="85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A3C9B50" w14:textId="3A000E31" w:rsidR="00AF02DC" w:rsidRPr="00370C25" w:rsidRDefault="00AF02DC" w:rsidP="00AF02DC">
            <w:pPr>
              <w:pStyle w:val="11-Table-T"/>
              <w:rPr>
                <w:color w:val="333333"/>
                <w:sz w:val="14"/>
                <w:szCs w:val="18"/>
                <w:lang w:eastAsia="en-US"/>
              </w:rPr>
            </w:pPr>
          </w:p>
        </w:tc>
        <w:tc>
          <w:tcPr>
            <w:tcW w:w="1134" w:type="dxa"/>
            <w:tcBorders>
              <w:left w:val="single" w:sz="4" w:space="0" w:color="auto"/>
              <w:right w:val="single" w:sz="4" w:space="0" w:color="auto"/>
            </w:tcBorders>
            <w:vAlign w:val="center"/>
          </w:tcPr>
          <w:p w14:paraId="721F0F45" w14:textId="3E31BF7E" w:rsidR="00AF02DC" w:rsidRPr="00370C25" w:rsidRDefault="00AF02DC" w:rsidP="00AF02DC">
            <w:pPr>
              <w:pStyle w:val="11-Table-T"/>
              <w:rPr>
                <w:color w:val="333333"/>
                <w:sz w:val="14"/>
                <w:szCs w:val="18"/>
                <w:lang w:eastAsia="en-US"/>
              </w:rPr>
            </w:pPr>
            <w:r w:rsidRPr="00370C25">
              <w:rPr>
                <w:sz w:val="14"/>
                <w:szCs w:val="18"/>
              </w:rPr>
              <w:t>216155 [105000-849683]</w:t>
            </w:r>
          </w:p>
        </w:tc>
        <w:tc>
          <w:tcPr>
            <w:tcW w:w="851"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2C99C7A6" w14:textId="187DD274"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509467FA" w14:textId="2C6370DD" w:rsidR="00AF02DC" w:rsidRPr="00370C25" w:rsidRDefault="00AF02DC" w:rsidP="00AF02DC">
            <w:pPr>
              <w:pStyle w:val="11-Table-T"/>
              <w:rPr>
                <w:color w:val="333333"/>
                <w:sz w:val="14"/>
                <w:szCs w:val="18"/>
                <w:lang w:eastAsia="en-US"/>
              </w:rPr>
            </w:pPr>
            <w:r w:rsidRPr="00370C25">
              <w:rPr>
                <w:sz w:val="14"/>
                <w:szCs w:val="18"/>
              </w:rPr>
              <w:t>87500 [54500-237500]</w:t>
            </w:r>
          </w:p>
        </w:tc>
      </w:tr>
      <w:tr w:rsidR="00AF02DC" w:rsidRPr="00370C25" w14:paraId="556BA513" w14:textId="77777777" w:rsidTr="00845FD4">
        <w:trPr>
          <w:jc w:val="center"/>
        </w:trPr>
        <w:tc>
          <w:tcPr>
            <w:tcW w:w="988" w:type="dxa"/>
            <w:tcBorders>
              <w:right w:val="single" w:sz="4" w:space="0" w:color="auto"/>
            </w:tcBorders>
            <w:vAlign w:val="center"/>
          </w:tcPr>
          <w:p w14:paraId="2E5DFB9A" w14:textId="08C3D0C8" w:rsidR="00AF02DC" w:rsidRPr="00370C25" w:rsidRDefault="00AF02DC" w:rsidP="00AF02DC">
            <w:pPr>
              <w:pStyle w:val="11-Table-T"/>
              <w:rPr>
                <w:sz w:val="14"/>
                <w:szCs w:val="18"/>
              </w:rPr>
            </w:pPr>
            <w:r w:rsidRPr="00370C25">
              <w:rPr>
                <w:sz w:val="14"/>
                <w:szCs w:val="18"/>
              </w:rPr>
              <w:t>Blood HIV-1 RNA levels at enrollment (copies/mL)</w:t>
            </w:r>
          </w:p>
        </w:tc>
        <w:tc>
          <w:tcPr>
            <w:tcW w:w="850" w:type="dxa"/>
            <w:tcBorders>
              <w:top w:val="nil"/>
              <w:left w:val="single" w:sz="4" w:space="0" w:color="auto"/>
              <w:bottom w:val="nil"/>
              <w:right w:val="single" w:sz="4" w:space="0" w:color="auto"/>
            </w:tcBorders>
            <w:shd w:val="clear" w:color="auto" w:fill="D9D9D9" w:themeFill="background1" w:themeFillShade="D9"/>
            <w:vAlign w:val="center"/>
          </w:tcPr>
          <w:p w14:paraId="668A1178" w14:textId="77777777" w:rsidR="00AF02DC" w:rsidRPr="00370C25" w:rsidRDefault="00AF02DC" w:rsidP="00AF02DC">
            <w:pPr>
              <w:pStyle w:val="11-Table-T"/>
              <w:rPr>
                <w:sz w:val="14"/>
                <w:szCs w:val="18"/>
              </w:rPr>
            </w:pPr>
          </w:p>
        </w:tc>
        <w:tc>
          <w:tcPr>
            <w:tcW w:w="1134" w:type="dxa"/>
            <w:tcBorders>
              <w:left w:val="single" w:sz="4" w:space="0" w:color="auto"/>
              <w:right w:val="single" w:sz="4" w:space="0" w:color="auto"/>
            </w:tcBorders>
            <w:vAlign w:val="center"/>
          </w:tcPr>
          <w:p w14:paraId="59CD1038" w14:textId="158C1553" w:rsidR="00AF02DC" w:rsidRPr="00370C25" w:rsidRDefault="00AF02DC" w:rsidP="00AF02DC">
            <w:pPr>
              <w:pStyle w:val="11-Table-T"/>
              <w:rPr>
                <w:color w:val="333333"/>
                <w:sz w:val="14"/>
                <w:szCs w:val="18"/>
                <w:lang w:eastAsia="en-US"/>
              </w:rPr>
            </w:pPr>
            <w:r w:rsidRPr="00370C25">
              <w:rPr>
                <w:sz w:val="14"/>
                <w:szCs w:val="18"/>
              </w:rPr>
              <w:t>216155 [105000-849683]</w:t>
            </w:r>
          </w:p>
        </w:tc>
        <w:tc>
          <w:tcPr>
            <w:tcW w:w="851" w:type="dxa"/>
            <w:tcBorders>
              <w:top w:val="nil"/>
              <w:left w:val="single" w:sz="4" w:space="0" w:color="auto"/>
              <w:bottom w:val="nil"/>
              <w:right w:val="single" w:sz="4" w:space="0" w:color="auto"/>
            </w:tcBorders>
            <w:shd w:val="clear" w:color="auto" w:fill="D9D9D9" w:themeFill="background1" w:themeFillShade="D9"/>
            <w:vAlign w:val="center"/>
          </w:tcPr>
          <w:p w14:paraId="2AF41634"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710484E8" w14:textId="7DEDA580" w:rsidR="00AF02DC" w:rsidRPr="00370C25" w:rsidRDefault="00AF02DC" w:rsidP="00AF02DC">
            <w:pPr>
              <w:pStyle w:val="11-Table-T"/>
              <w:rPr>
                <w:color w:val="333333"/>
                <w:sz w:val="14"/>
                <w:szCs w:val="18"/>
                <w:lang w:eastAsia="en-US"/>
              </w:rPr>
            </w:pPr>
            <w:r w:rsidRPr="00370C25">
              <w:rPr>
                <w:sz w:val="14"/>
                <w:szCs w:val="18"/>
              </w:rPr>
              <w:t>&lt;37</w:t>
            </w:r>
          </w:p>
        </w:tc>
      </w:tr>
      <w:tr w:rsidR="00AF02DC" w:rsidRPr="00370C25" w14:paraId="19F0CE3E" w14:textId="77777777" w:rsidTr="00845FD4">
        <w:trPr>
          <w:jc w:val="center"/>
        </w:trPr>
        <w:tc>
          <w:tcPr>
            <w:tcW w:w="988" w:type="dxa"/>
            <w:tcBorders>
              <w:right w:val="single" w:sz="4" w:space="0" w:color="auto"/>
            </w:tcBorders>
            <w:vAlign w:val="center"/>
          </w:tcPr>
          <w:p w14:paraId="1DA8C037" w14:textId="5B2D4BDE" w:rsidR="00AF02DC" w:rsidRPr="00370C25" w:rsidRDefault="00AF02DC" w:rsidP="00AF02DC">
            <w:pPr>
              <w:pStyle w:val="11-Table-T"/>
              <w:rPr>
                <w:sz w:val="14"/>
                <w:szCs w:val="18"/>
              </w:rPr>
            </w:pPr>
            <w:r w:rsidRPr="00370C25">
              <w:rPr>
                <w:sz w:val="14"/>
                <w:szCs w:val="18"/>
              </w:rPr>
              <w:t>Nadir blood CD4+ T cell count (cells/µL)</w:t>
            </w:r>
          </w:p>
        </w:tc>
        <w:tc>
          <w:tcPr>
            <w:tcW w:w="850" w:type="dxa"/>
            <w:tcBorders>
              <w:top w:val="nil"/>
              <w:left w:val="single" w:sz="4" w:space="0" w:color="auto"/>
              <w:bottom w:val="nil"/>
              <w:right w:val="single" w:sz="4" w:space="0" w:color="auto"/>
            </w:tcBorders>
            <w:shd w:val="clear" w:color="auto" w:fill="D9D9D9" w:themeFill="background1" w:themeFillShade="D9"/>
            <w:vAlign w:val="center"/>
          </w:tcPr>
          <w:p w14:paraId="6DE2D08D" w14:textId="77777777" w:rsidR="00AF02DC" w:rsidRPr="00370C25" w:rsidRDefault="00AF02DC" w:rsidP="00AF02DC">
            <w:pPr>
              <w:pStyle w:val="11-Table-T"/>
              <w:rPr>
                <w:sz w:val="14"/>
                <w:szCs w:val="18"/>
              </w:rPr>
            </w:pPr>
          </w:p>
        </w:tc>
        <w:tc>
          <w:tcPr>
            <w:tcW w:w="1134" w:type="dxa"/>
            <w:tcBorders>
              <w:left w:val="single" w:sz="4" w:space="0" w:color="auto"/>
              <w:right w:val="single" w:sz="4" w:space="0" w:color="auto"/>
            </w:tcBorders>
            <w:vAlign w:val="center"/>
          </w:tcPr>
          <w:p w14:paraId="31679182" w14:textId="3A1ACEBE" w:rsidR="00AF02DC" w:rsidRPr="00370C25" w:rsidRDefault="00AF02DC" w:rsidP="00AF02DC">
            <w:pPr>
              <w:pStyle w:val="11-Table-T"/>
              <w:rPr>
                <w:color w:val="333333"/>
                <w:sz w:val="14"/>
                <w:szCs w:val="18"/>
                <w:lang w:eastAsia="en-US"/>
              </w:rPr>
            </w:pPr>
            <w:r w:rsidRPr="00370C25">
              <w:rPr>
                <w:sz w:val="14"/>
                <w:szCs w:val="18"/>
              </w:rPr>
              <w:t>160 [35-333]</w:t>
            </w:r>
          </w:p>
        </w:tc>
        <w:tc>
          <w:tcPr>
            <w:tcW w:w="851" w:type="dxa"/>
            <w:tcBorders>
              <w:top w:val="nil"/>
              <w:left w:val="single" w:sz="4" w:space="0" w:color="auto"/>
              <w:bottom w:val="nil"/>
              <w:right w:val="single" w:sz="4" w:space="0" w:color="auto"/>
            </w:tcBorders>
            <w:shd w:val="clear" w:color="auto" w:fill="D9D9D9" w:themeFill="background1" w:themeFillShade="D9"/>
            <w:vAlign w:val="center"/>
          </w:tcPr>
          <w:p w14:paraId="6D45EB6F"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2E65FEE8" w14:textId="20F309D3" w:rsidR="00AF02DC" w:rsidRPr="00370C25" w:rsidRDefault="00AF02DC" w:rsidP="00AF02DC">
            <w:pPr>
              <w:pStyle w:val="11-Table-T"/>
              <w:rPr>
                <w:color w:val="333333"/>
                <w:sz w:val="14"/>
                <w:szCs w:val="18"/>
                <w:lang w:eastAsia="en-US"/>
              </w:rPr>
            </w:pPr>
            <w:r w:rsidRPr="00370C25">
              <w:rPr>
                <w:sz w:val="14"/>
                <w:szCs w:val="18"/>
              </w:rPr>
              <w:t>160 [34-315]</w:t>
            </w:r>
          </w:p>
        </w:tc>
      </w:tr>
      <w:tr w:rsidR="00AF02DC" w:rsidRPr="00370C25" w14:paraId="4222522C" w14:textId="77777777" w:rsidTr="00845FD4">
        <w:trPr>
          <w:jc w:val="center"/>
        </w:trPr>
        <w:tc>
          <w:tcPr>
            <w:tcW w:w="988" w:type="dxa"/>
            <w:tcBorders>
              <w:right w:val="single" w:sz="4" w:space="0" w:color="auto"/>
            </w:tcBorders>
            <w:vAlign w:val="center"/>
          </w:tcPr>
          <w:p w14:paraId="4624F0B2" w14:textId="73C45ADD" w:rsidR="00AF02DC" w:rsidRPr="00370C25" w:rsidRDefault="00AF02DC" w:rsidP="00AF02DC">
            <w:pPr>
              <w:pStyle w:val="11-Table-T"/>
              <w:rPr>
                <w:sz w:val="14"/>
                <w:szCs w:val="18"/>
              </w:rPr>
            </w:pPr>
            <w:r w:rsidRPr="00370C25">
              <w:rPr>
                <w:sz w:val="14"/>
                <w:szCs w:val="18"/>
              </w:rPr>
              <w:t xml:space="preserve">Blood CD4+ T cell </w:t>
            </w:r>
            <w:proofErr w:type="gramStart"/>
            <w:r w:rsidRPr="00370C25">
              <w:rPr>
                <w:sz w:val="14"/>
                <w:szCs w:val="18"/>
              </w:rPr>
              <w:t>count</w:t>
            </w:r>
            <w:proofErr w:type="gramEnd"/>
            <w:r w:rsidRPr="00370C25">
              <w:rPr>
                <w:sz w:val="14"/>
                <w:szCs w:val="18"/>
              </w:rPr>
              <w:t xml:space="preserve"> at enrollment (cells/µL)</w:t>
            </w:r>
          </w:p>
        </w:tc>
        <w:tc>
          <w:tcPr>
            <w:tcW w:w="850" w:type="dxa"/>
            <w:tcBorders>
              <w:top w:val="nil"/>
              <w:left w:val="single" w:sz="4" w:space="0" w:color="auto"/>
              <w:bottom w:val="nil"/>
              <w:right w:val="single" w:sz="4" w:space="0" w:color="auto"/>
            </w:tcBorders>
            <w:shd w:val="clear" w:color="auto" w:fill="D9D9D9" w:themeFill="background1" w:themeFillShade="D9"/>
            <w:vAlign w:val="center"/>
          </w:tcPr>
          <w:p w14:paraId="1232C425" w14:textId="77777777" w:rsidR="00AF02DC" w:rsidRPr="00370C25" w:rsidRDefault="00AF02DC" w:rsidP="00AF02DC">
            <w:pPr>
              <w:pStyle w:val="11-Table-T"/>
              <w:rPr>
                <w:sz w:val="14"/>
                <w:szCs w:val="18"/>
              </w:rPr>
            </w:pPr>
          </w:p>
        </w:tc>
        <w:tc>
          <w:tcPr>
            <w:tcW w:w="1134" w:type="dxa"/>
            <w:tcBorders>
              <w:left w:val="single" w:sz="4" w:space="0" w:color="auto"/>
              <w:right w:val="single" w:sz="4" w:space="0" w:color="auto"/>
            </w:tcBorders>
            <w:vAlign w:val="center"/>
          </w:tcPr>
          <w:p w14:paraId="409B6D00" w14:textId="317A34B4" w:rsidR="00AF02DC" w:rsidRPr="00370C25" w:rsidRDefault="00AF02DC" w:rsidP="00AF02DC">
            <w:pPr>
              <w:pStyle w:val="11-Table-T"/>
              <w:rPr>
                <w:color w:val="333333"/>
                <w:sz w:val="14"/>
                <w:szCs w:val="18"/>
                <w:lang w:eastAsia="en-US"/>
              </w:rPr>
            </w:pPr>
            <w:r w:rsidRPr="00370C25">
              <w:rPr>
                <w:sz w:val="14"/>
                <w:szCs w:val="18"/>
              </w:rPr>
              <w:t>160 [35-333]</w:t>
            </w:r>
          </w:p>
        </w:tc>
        <w:tc>
          <w:tcPr>
            <w:tcW w:w="851" w:type="dxa"/>
            <w:tcBorders>
              <w:top w:val="nil"/>
              <w:left w:val="single" w:sz="4" w:space="0" w:color="auto"/>
              <w:bottom w:val="nil"/>
              <w:right w:val="single" w:sz="4" w:space="0" w:color="auto"/>
            </w:tcBorders>
            <w:shd w:val="clear" w:color="auto" w:fill="D9D9D9" w:themeFill="background1" w:themeFillShade="D9"/>
            <w:vAlign w:val="center"/>
          </w:tcPr>
          <w:p w14:paraId="25B15D43"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20539907" w14:textId="26CCB3E7" w:rsidR="00AF02DC" w:rsidRPr="00370C25" w:rsidRDefault="00AF02DC" w:rsidP="00AF02DC">
            <w:pPr>
              <w:pStyle w:val="11-Table-T"/>
              <w:rPr>
                <w:color w:val="333333"/>
                <w:sz w:val="14"/>
                <w:szCs w:val="18"/>
                <w:lang w:eastAsia="en-US"/>
              </w:rPr>
            </w:pPr>
            <w:r w:rsidRPr="00370C25">
              <w:rPr>
                <w:sz w:val="14"/>
                <w:szCs w:val="18"/>
              </w:rPr>
              <w:t>713 [438-765]</w:t>
            </w:r>
          </w:p>
        </w:tc>
      </w:tr>
      <w:tr w:rsidR="00AF02DC" w:rsidRPr="00370C25" w14:paraId="48069A04" w14:textId="77777777" w:rsidTr="00845FD4">
        <w:trPr>
          <w:jc w:val="center"/>
        </w:trPr>
        <w:tc>
          <w:tcPr>
            <w:tcW w:w="988" w:type="dxa"/>
            <w:vAlign w:val="center"/>
          </w:tcPr>
          <w:p w14:paraId="68C5DFDD" w14:textId="4EDEBA9C" w:rsidR="00AF02DC" w:rsidRPr="00370C25" w:rsidRDefault="00AF02DC" w:rsidP="00AF02DC">
            <w:pPr>
              <w:pStyle w:val="11-Table-T"/>
              <w:rPr>
                <w:sz w:val="14"/>
                <w:szCs w:val="18"/>
              </w:rPr>
            </w:pPr>
            <w:r w:rsidRPr="00370C25">
              <w:rPr>
                <w:sz w:val="14"/>
                <w:szCs w:val="18"/>
              </w:rPr>
              <w:t xml:space="preserve">Blood CD8+ T cell </w:t>
            </w:r>
            <w:proofErr w:type="gramStart"/>
            <w:r w:rsidRPr="00370C25">
              <w:rPr>
                <w:sz w:val="14"/>
                <w:szCs w:val="18"/>
              </w:rPr>
              <w:t>count</w:t>
            </w:r>
            <w:proofErr w:type="gramEnd"/>
            <w:r w:rsidRPr="00370C25">
              <w:rPr>
                <w:sz w:val="14"/>
                <w:szCs w:val="18"/>
              </w:rPr>
              <w:t xml:space="preserve"> at enrollment (cells/µL)</w:t>
            </w:r>
          </w:p>
        </w:tc>
        <w:tc>
          <w:tcPr>
            <w:tcW w:w="850" w:type="dxa"/>
            <w:tcBorders>
              <w:top w:val="nil"/>
              <w:bottom w:val="nil"/>
            </w:tcBorders>
            <w:shd w:val="clear" w:color="auto" w:fill="D9D9D9" w:themeFill="background1" w:themeFillShade="D9"/>
            <w:vAlign w:val="center"/>
          </w:tcPr>
          <w:p w14:paraId="0A2A06BE" w14:textId="77777777" w:rsidR="00AF02DC" w:rsidRPr="00370C25" w:rsidRDefault="00AF02DC" w:rsidP="00AF02DC">
            <w:pPr>
              <w:pStyle w:val="11-Table-T"/>
              <w:rPr>
                <w:sz w:val="14"/>
                <w:szCs w:val="18"/>
              </w:rPr>
            </w:pPr>
          </w:p>
        </w:tc>
        <w:tc>
          <w:tcPr>
            <w:tcW w:w="1134" w:type="dxa"/>
            <w:tcBorders>
              <w:right w:val="single" w:sz="4" w:space="0" w:color="auto"/>
            </w:tcBorders>
            <w:vAlign w:val="center"/>
          </w:tcPr>
          <w:p w14:paraId="09515841" w14:textId="3844A386" w:rsidR="00AF02DC" w:rsidRPr="00370C25" w:rsidRDefault="00AF02DC" w:rsidP="00AF02DC">
            <w:pPr>
              <w:pStyle w:val="11-Table-T"/>
              <w:rPr>
                <w:color w:val="333333"/>
                <w:sz w:val="14"/>
                <w:szCs w:val="18"/>
                <w:lang w:eastAsia="en-US"/>
              </w:rPr>
            </w:pPr>
            <w:r w:rsidRPr="00370C25">
              <w:rPr>
                <w:sz w:val="14"/>
                <w:szCs w:val="18"/>
              </w:rPr>
              <w:t>931 [222-1296]</w:t>
            </w:r>
          </w:p>
        </w:tc>
        <w:tc>
          <w:tcPr>
            <w:tcW w:w="851" w:type="dxa"/>
            <w:tcBorders>
              <w:top w:val="nil"/>
              <w:left w:val="single" w:sz="4" w:space="0" w:color="auto"/>
              <w:bottom w:val="nil"/>
              <w:right w:val="single" w:sz="4" w:space="0" w:color="auto"/>
            </w:tcBorders>
            <w:shd w:val="clear" w:color="auto" w:fill="D9D9D9" w:themeFill="background1" w:themeFillShade="D9"/>
            <w:vAlign w:val="center"/>
          </w:tcPr>
          <w:p w14:paraId="10B3760E"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4FC4B2A7" w14:textId="161E6D00" w:rsidR="00AF02DC" w:rsidRPr="00370C25" w:rsidRDefault="00AF02DC" w:rsidP="00AF02DC">
            <w:pPr>
              <w:pStyle w:val="11-Table-T"/>
              <w:rPr>
                <w:color w:val="333333"/>
                <w:sz w:val="14"/>
                <w:szCs w:val="18"/>
                <w:lang w:eastAsia="en-US"/>
              </w:rPr>
            </w:pPr>
            <w:r w:rsidRPr="00370C25">
              <w:rPr>
                <w:sz w:val="14"/>
                <w:szCs w:val="18"/>
              </w:rPr>
              <w:t>885 [649-1150]</w:t>
            </w:r>
          </w:p>
        </w:tc>
      </w:tr>
      <w:tr w:rsidR="00AF02DC" w:rsidRPr="00370C25" w14:paraId="18518EEB" w14:textId="77777777" w:rsidTr="00845FD4">
        <w:trPr>
          <w:jc w:val="center"/>
        </w:trPr>
        <w:tc>
          <w:tcPr>
            <w:tcW w:w="988" w:type="dxa"/>
            <w:vAlign w:val="center"/>
          </w:tcPr>
          <w:p w14:paraId="404F7421" w14:textId="51A9C2EB" w:rsidR="00AF02DC" w:rsidRPr="00370C25" w:rsidRDefault="00AF02DC" w:rsidP="00AF02DC">
            <w:pPr>
              <w:pStyle w:val="11-Table-T"/>
              <w:rPr>
                <w:sz w:val="14"/>
                <w:szCs w:val="18"/>
              </w:rPr>
            </w:pPr>
            <w:r w:rsidRPr="00370C25">
              <w:rPr>
                <w:sz w:val="14"/>
                <w:szCs w:val="18"/>
              </w:rPr>
              <w:t>Blood CD4/CD8 ratio at enrollment</w:t>
            </w:r>
          </w:p>
        </w:tc>
        <w:tc>
          <w:tcPr>
            <w:tcW w:w="850" w:type="dxa"/>
            <w:tcBorders>
              <w:top w:val="nil"/>
              <w:bottom w:val="nil"/>
            </w:tcBorders>
            <w:shd w:val="clear" w:color="auto" w:fill="D9D9D9" w:themeFill="background1" w:themeFillShade="D9"/>
            <w:vAlign w:val="center"/>
          </w:tcPr>
          <w:p w14:paraId="4326E650" w14:textId="77777777" w:rsidR="00AF02DC" w:rsidRPr="00370C25" w:rsidRDefault="00AF02DC" w:rsidP="00AF02DC">
            <w:pPr>
              <w:pStyle w:val="11-Table-T"/>
              <w:rPr>
                <w:sz w:val="14"/>
                <w:szCs w:val="18"/>
              </w:rPr>
            </w:pPr>
          </w:p>
        </w:tc>
        <w:tc>
          <w:tcPr>
            <w:tcW w:w="1134" w:type="dxa"/>
            <w:tcBorders>
              <w:right w:val="single" w:sz="4" w:space="0" w:color="auto"/>
            </w:tcBorders>
            <w:vAlign w:val="center"/>
          </w:tcPr>
          <w:p w14:paraId="465E5A1D" w14:textId="3C42261E" w:rsidR="00AF02DC" w:rsidRPr="00370C25" w:rsidRDefault="00AF02DC" w:rsidP="00AF02DC">
            <w:pPr>
              <w:pStyle w:val="11-Table-T"/>
              <w:rPr>
                <w:color w:val="333333"/>
                <w:sz w:val="14"/>
                <w:szCs w:val="18"/>
                <w:lang w:eastAsia="en-US"/>
              </w:rPr>
            </w:pPr>
            <w:r w:rsidRPr="00370C25">
              <w:rPr>
                <w:sz w:val="14"/>
                <w:szCs w:val="18"/>
              </w:rPr>
              <w:t>0.2 [0.07-0.63]</w:t>
            </w:r>
          </w:p>
        </w:tc>
        <w:tc>
          <w:tcPr>
            <w:tcW w:w="851" w:type="dxa"/>
            <w:tcBorders>
              <w:top w:val="nil"/>
              <w:left w:val="single" w:sz="4" w:space="0" w:color="auto"/>
              <w:bottom w:val="nil"/>
              <w:right w:val="single" w:sz="4" w:space="0" w:color="auto"/>
            </w:tcBorders>
            <w:shd w:val="clear" w:color="auto" w:fill="D9D9D9" w:themeFill="background1" w:themeFillShade="D9"/>
            <w:vAlign w:val="center"/>
          </w:tcPr>
          <w:p w14:paraId="2CB3D637"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0A2DC0FE" w14:textId="284868CD" w:rsidR="00AF02DC" w:rsidRPr="00370C25" w:rsidRDefault="00AF02DC" w:rsidP="00AF02DC">
            <w:pPr>
              <w:pStyle w:val="11-Table-T"/>
              <w:rPr>
                <w:color w:val="333333"/>
                <w:sz w:val="14"/>
                <w:szCs w:val="18"/>
                <w:lang w:eastAsia="en-US"/>
              </w:rPr>
            </w:pPr>
            <w:r w:rsidRPr="00370C25">
              <w:rPr>
                <w:sz w:val="14"/>
                <w:szCs w:val="18"/>
              </w:rPr>
              <w:t>0.79 [0.44-1.42]</w:t>
            </w:r>
          </w:p>
        </w:tc>
      </w:tr>
      <w:tr w:rsidR="00AF02DC" w:rsidRPr="00370C25" w14:paraId="5CA8C89F" w14:textId="77777777" w:rsidTr="00845FD4">
        <w:trPr>
          <w:jc w:val="center"/>
        </w:trPr>
        <w:tc>
          <w:tcPr>
            <w:tcW w:w="988" w:type="dxa"/>
            <w:vAlign w:val="center"/>
          </w:tcPr>
          <w:p w14:paraId="0BE47B28" w14:textId="78A79FD0" w:rsidR="00AF02DC" w:rsidRPr="00370C25" w:rsidRDefault="00AF02DC" w:rsidP="00AF02DC">
            <w:pPr>
              <w:pStyle w:val="11-Table-T"/>
              <w:rPr>
                <w:sz w:val="14"/>
                <w:szCs w:val="18"/>
              </w:rPr>
            </w:pPr>
            <w:r w:rsidRPr="00370C25">
              <w:rPr>
                <w:sz w:val="14"/>
                <w:szCs w:val="18"/>
              </w:rPr>
              <w:t>ART exposure time (years)</w:t>
            </w:r>
          </w:p>
        </w:tc>
        <w:tc>
          <w:tcPr>
            <w:tcW w:w="850" w:type="dxa"/>
            <w:tcBorders>
              <w:top w:val="nil"/>
            </w:tcBorders>
            <w:shd w:val="clear" w:color="auto" w:fill="D9D9D9" w:themeFill="background1" w:themeFillShade="D9"/>
            <w:vAlign w:val="center"/>
          </w:tcPr>
          <w:p w14:paraId="57556055" w14:textId="77777777" w:rsidR="00AF02DC" w:rsidRPr="00370C25" w:rsidRDefault="00AF02DC" w:rsidP="00AF02DC">
            <w:pPr>
              <w:pStyle w:val="11-Table-T"/>
              <w:rPr>
                <w:sz w:val="14"/>
                <w:szCs w:val="18"/>
              </w:rPr>
            </w:pPr>
          </w:p>
        </w:tc>
        <w:tc>
          <w:tcPr>
            <w:tcW w:w="1134" w:type="dxa"/>
            <w:tcBorders>
              <w:right w:val="single" w:sz="4" w:space="0" w:color="auto"/>
            </w:tcBorders>
            <w:vAlign w:val="center"/>
          </w:tcPr>
          <w:p w14:paraId="015D7C91" w14:textId="50BD2FF4" w:rsidR="00AF02DC" w:rsidRPr="00370C25" w:rsidRDefault="00AF02DC" w:rsidP="00AF02DC">
            <w:pPr>
              <w:pStyle w:val="11-Table-T"/>
              <w:rPr>
                <w:color w:val="333333"/>
                <w:sz w:val="14"/>
                <w:szCs w:val="18"/>
                <w:lang w:eastAsia="en-US"/>
              </w:rPr>
            </w:pPr>
            <w:r w:rsidRPr="00370C25">
              <w:rPr>
                <w:sz w:val="14"/>
                <w:szCs w:val="18"/>
              </w:rPr>
              <w:t>0 [0-0]</w:t>
            </w:r>
          </w:p>
        </w:tc>
        <w:tc>
          <w:tcPr>
            <w:tcW w:w="851"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A80786D" w14:textId="77777777" w:rsidR="00AF02DC" w:rsidRPr="00370C25" w:rsidRDefault="00AF02DC" w:rsidP="00AF02DC">
            <w:pPr>
              <w:pStyle w:val="11-Table-T"/>
              <w:rPr>
                <w:color w:val="333333"/>
                <w:sz w:val="14"/>
                <w:szCs w:val="18"/>
                <w:lang w:eastAsia="en-US"/>
              </w:rPr>
            </w:pPr>
          </w:p>
        </w:tc>
        <w:tc>
          <w:tcPr>
            <w:tcW w:w="1082" w:type="dxa"/>
            <w:tcBorders>
              <w:left w:val="single" w:sz="4" w:space="0" w:color="auto"/>
            </w:tcBorders>
            <w:vAlign w:val="center"/>
          </w:tcPr>
          <w:p w14:paraId="2D98DED1" w14:textId="7CE9451B" w:rsidR="00AF02DC" w:rsidRPr="00370C25" w:rsidRDefault="00AF02DC" w:rsidP="00AF02DC">
            <w:pPr>
              <w:pStyle w:val="11-Table-T"/>
              <w:rPr>
                <w:color w:val="333333"/>
                <w:sz w:val="14"/>
                <w:szCs w:val="18"/>
                <w:lang w:eastAsia="en-US"/>
              </w:rPr>
            </w:pPr>
            <w:r w:rsidRPr="00370C25">
              <w:rPr>
                <w:sz w:val="14"/>
                <w:szCs w:val="18"/>
              </w:rPr>
              <w:t>16.5 [9.5-22.5]</w:t>
            </w:r>
          </w:p>
        </w:tc>
      </w:tr>
    </w:tbl>
    <w:p w14:paraId="13C3D3E1" w14:textId="6865BD75" w:rsidR="000D6F71" w:rsidRPr="00370C25" w:rsidRDefault="000D6F71" w:rsidP="000D6F71">
      <w:pPr>
        <w:pStyle w:val="Nessunaspaziatura"/>
        <w:rPr>
          <w:color w:val="333333"/>
          <w:sz w:val="21"/>
          <w:szCs w:val="21"/>
          <w:lang w:eastAsia="en-US"/>
        </w:rPr>
      </w:pPr>
    </w:p>
    <w:sdt>
      <w:sdtPr>
        <w:rPr>
          <w:sz w:val="21"/>
          <w:szCs w:val="21"/>
          <w:vertAlign w:val="superscript"/>
        </w:rPr>
        <w:id w:val="-449320777"/>
        <w:placeholder>
          <w:docPart w:val="33076C937ADD4A38AF0B5C40B8BCB5F4"/>
        </w:placeholder>
      </w:sdtPr>
      <w:sdtEndPr>
        <w:rPr>
          <w:color w:val="A6A6A6"/>
          <w:vertAlign w:val="baseline"/>
          <w:lang w:eastAsia="en-US"/>
        </w:rPr>
      </w:sdtEndPr>
      <w:sdtContent>
        <w:p w14:paraId="5AA41FDA" w14:textId="20738DC3" w:rsidR="000D6F71" w:rsidRPr="00370C25" w:rsidRDefault="00AF02DC" w:rsidP="00D712F9">
          <w:pPr>
            <w:pStyle w:val="Nessunaspaziatura"/>
            <w:jc w:val="both"/>
            <w:rPr>
              <w:color w:val="A6A6A6"/>
              <w:sz w:val="21"/>
              <w:szCs w:val="21"/>
              <w:lang w:eastAsia="en-US"/>
            </w:rPr>
          </w:pPr>
          <w:r w:rsidRPr="00370C25">
            <w:rPr>
              <w:sz w:val="21"/>
              <w:szCs w:val="21"/>
              <w:vertAlign w:val="superscript"/>
            </w:rPr>
            <w:t xml:space="preserve">Data are expressed as median (interquartile ranges) or number (percentage). Differences in demographic </w:t>
          </w:r>
          <w:r w:rsidR="00F50E41" w:rsidRPr="00370C25">
            <w:rPr>
              <w:sz w:val="21"/>
              <w:szCs w:val="21"/>
              <w:vertAlign w:val="superscript"/>
            </w:rPr>
            <w:t>c</w:t>
          </w:r>
          <w:r w:rsidRPr="00370C25">
            <w:rPr>
              <w:sz w:val="21"/>
              <w:szCs w:val="21"/>
              <w:vertAlign w:val="superscript"/>
            </w:rPr>
            <w:t xml:space="preserve">haracteristics between PLWH and healthy controls were evaluated using Mann–Whitney U and Chi-squared tests. </w:t>
          </w:r>
          <w:r w:rsidRPr="00370C25">
            <w:rPr>
              <w:i/>
              <w:iCs/>
              <w:sz w:val="21"/>
              <w:szCs w:val="21"/>
              <w:vertAlign w:val="superscript"/>
            </w:rPr>
            <w:t>p</w:t>
          </w:r>
          <w:r w:rsidRPr="00370C25">
            <w:rPr>
              <w:sz w:val="21"/>
              <w:szCs w:val="21"/>
              <w:vertAlign w:val="superscript"/>
            </w:rPr>
            <w:t xml:space="preserve"> &lt; 0.05 was considered statistically significant.</w:t>
          </w:r>
        </w:p>
      </w:sdtContent>
    </w:sdt>
    <w:p w14:paraId="23016E80" w14:textId="77777777" w:rsidR="00F42807" w:rsidRPr="00370C25" w:rsidRDefault="00F42807" w:rsidP="00F42807">
      <w:pPr>
        <w:pStyle w:val="Nessunaspaziatura"/>
        <w:jc w:val="both"/>
        <w:rPr>
          <w:b/>
          <w:sz w:val="18"/>
          <w:szCs w:val="18"/>
        </w:rPr>
      </w:pPr>
    </w:p>
    <w:p w14:paraId="08F8F833" w14:textId="7EF524CB" w:rsidR="00F42807" w:rsidRPr="00370C25" w:rsidRDefault="00F42807" w:rsidP="00F42807">
      <w:pPr>
        <w:pStyle w:val="Nessunaspaziatura"/>
        <w:jc w:val="both"/>
        <w:rPr>
          <w:color w:val="A6A6A6"/>
          <w:sz w:val="18"/>
          <w:szCs w:val="18"/>
          <w:lang w:eastAsia="en-US"/>
        </w:rPr>
      </w:pPr>
      <w:r w:rsidRPr="00370C25">
        <w:rPr>
          <w:b/>
          <w:sz w:val="18"/>
          <w:szCs w:val="18"/>
        </w:rPr>
        <w:t>Table 2.</w:t>
      </w:r>
      <w:r w:rsidRPr="00370C25">
        <w:rPr>
          <w:sz w:val="18"/>
          <w:szCs w:val="18"/>
        </w:rPr>
        <w:t xml:space="preserve"> </w:t>
      </w:r>
      <w:sdt>
        <w:sdtPr>
          <w:rPr>
            <w:sz w:val="18"/>
            <w:szCs w:val="18"/>
          </w:rPr>
          <w:id w:val="1016818632"/>
          <w:placeholder>
            <w:docPart w:val="B6DF2305B338496A989A7EE4A83BECD6"/>
          </w:placeholder>
        </w:sdtPr>
        <w:sdtEndPr>
          <w:rPr>
            <w:color w:val="A6A6A6"/>
            <w:lang w:eastAsia="en-US"/>
          </w:rPr>
        </w:sdtEndPr>
        <w:sdtContent>
          <w:r w:rsidRPr="00370C25">
            <w:rPr>
              <w:sz w:val="18"/>
              <w:szCs w:val="18"/>
            </w:rPr>
            <w:t>Current ART regimens of enrolled PLWH</w:t>
          </w:r>
        </w:sdtContent>
      </w:sdt>
    </w:p>
    <w:p w14:paraId="52566BE2" w14:textId="77777777" w:rsidR="00F42807" w:rsidRPr="00370C25" w:rsidRDefault="00F42807" w:rsidP="00F42807">
      <w:pPr>
        <w:pStyle w:val="Nessunaspaziatura"/>
        <w:rPr>
          <w:color w:val="333333"/>
          <w:sz w:val="21"/>
          <w:szCs w:val="21"/>
          <w:lang w:eastAsia="en-US"/>
        </w:rPr>
      </w:pPr>
    </w:p>
    <w:tbl>
      <w:tblPr>
        <w:tblW w:w="3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2157"/>
      </w:tblGrid>
      <w:tr w:rsidR="00F42807" w:rsidRPr="00370C25" w14:paraId="7C547FD8" w14:textId="77777777" w:rsidTr="00F42807">
        <w:trPr>
          <w:jc w:val="center"/>
        </w:trPr>
        <w:tc>
          <w:tcPr>
            <w:tcW w:w="1666" w:type="dxa"/>
            <w:shd w:val="clear" w:color="auto" w:fill="BFBFBF"/>
          </w:tcPr>
          <w:p w14:paraId="58758F26" w14:textId="44159E03" w:rsidR="00F42807" w:rsidRPr="00370C25" w:rsidRDefault="00F42807" w:rsidP="00F42807">
            <w:pPr>
              <w:pStyle w:val="11-Table-T"/>
              <w:rPr>
                <w:b/>
                <w:color w:val="333333"/>
                <w:sz w:val="14"/>
                <w:szCs w:val="18"/>
                <w:lang w:eastAsia="en-US"/>
              </w:rPr>
            </w:pPr>
            <w:r w:rsidRPr="00370C25">
              <w:t>ART regimen</w:t>
            </w:r>
          </w:p>
        </w:tc>
        <w:tc>
          <w:tcPr>
            <w:tcW w:w="2157" w:type="dxa"/>
            <w:shd w:val="clear" w:color="auto" w:fill="BFBFBF"/>
          </w:tcPr>
          <w:p w14:paraId="31017AAC" w14:textId="3772E909" w:rsidR="00F42807" w:rsidRPr="00370C25" w:rsidRDefault="00F42807" w:rsidP="00F42807">
            <w:pPr>
              <w:pStyle w:val="11-Table-T"/>
              <w:rPr>
                <w:b/>
                <w:color w:val="333333"/>
                <w:sz w:val="14"/>
                <w:szCs w:val="18"/>
                <w:lang w:eastAsia="en-US"/>
              </w:rPr>
            </w:pPr>
            <w:r w:rsidRPr="00370C25">
              <w:t xml:space="preserve">Number of PLWH </w:t>
            </w:r>
          </w:p>
        </w:tc>
      </w:tr>
      <w:tr w:rsidR="00F42807" w:rsidRPr="00370C25" w14:paraId="6F6E458E" w14:textId="77777777" w:rsidTr="00F42807">
        <w:trPr>
          <w:jc w:val="center"/>
        </w:trPr>
        <w:tc>
          <w:tcPr>
            <w:tcW w:w="1666" w:type="dxa"/>
          </w:tcPr>
          <w:p w14:paraId="50B985B7" w14:textId="3FFE27DF" w:rsidR="00F42807" w:rsidRPr="00370C25" w:rsidRDefault="00F42807" w:rsidP="00F42807">
            <w:pPr>
              <w:pStyle w:val="11-Table-T"/>
              <w:rPr>
                <w:color w:val="333333"/>
                <w:sz w:val="14"/>
                <w:szCs w:val="18"/>
                <w:lang w:eastAsia="en-US"/>
              </w:rPr>
            </w:pPr>
            <w:r w:rsidRPr="00370C25">
              <w:t>DRV/COBI/FTC/TAF</w:t>
            </w:r>
          </w:p>
        </w:tc>
        <w:tc>
          <w:tcPr>
            <w:tcW w:w="2157" w:type="dxa"/>
            <w:shd w:val="clear" w:color="auto" w:fill="FFFFFF" w:themeFill="background1"/>
          </w:tcPr>
          <w:p w14:paraId="784BAE3F" w14:textId="534C314A" w:rsidR="00F42807" w:rsidRPr="00370C25" w:rsidRDefault="00F42807" w:rsidP="00F42807">
            <w:pPr>
              <w:pStyle w:val="11-Table-T"/>
              <w:rPr>
                <w:color w:val="333333"/>
                <w:sz w:val="14"/>
                <w:szCs w:val="18"/>
                <w:lang w:eastAsia="en-US"/>
              </w:rPr>
            </w:pPr>
            <w:r w:rsidRPr="00370C25">
              <w:t>2 (16,67%)</w:t>
            </w:r>
          </w:p>
        </w:tc>
      </w:tr>
      <w:tr w:rsidR="00F42807" w:rsidRPr="00370C25" w14:paraId="49A3E58D" w14:textId="77777777" w:rsidTr="00F42807">
        <w:trPr>
          <w:jc w:val="center"/>
        </w:trPr>
        <w:tc>
          <w:tcPr>
            <w:tcW w:w="1666" w:type="dxa"/>
          </w:tcPr>
          <w:p w14:paraId="746F3D49" w14:textId="377448A1" w:rsidR="00F42807" w:rsidRPr="00370C25" w:rsidRDefault="00F42807" w:rsidP="00F42807">
            <w:pPr>
              <w:pStyle w:val="11-Table-T"/>
              <w:rPr>
                <w:color w:val="333333"/>
                <w:sz w:val="14"/>
                <w:szCs w:val="18"/>
                <w:lang w:eastAsia="en-US"/>
              </w:rPr>
            </w:pPr>
            <w:r w:rsidRPr="00370C25">
              <w:t>DTG/ABC/3TC</w:t>
            </w:r>
          </w:p>
        </w:tc>
        <w:tc>
          <w:tcPr>
            <w:tcW w:w="2157" w:type="dxa"/>
            <w:shd w:val="clear" w:color="auto" w:fill="FFFFFF" w:themeFill="background1"/>
          </w:tcPr>
          <w:p w14:paraId="6A8F1E84" w14:textId="0E0AB9DC" w:rsidR="00F42807" w:rsidRPr="00370C25" w:rsidRDefault="00F42807" w:rsidP="00F42807">
            <w:pPr>
              <w:pStyle w:val="11-Table-T"/>
              <w:rPr>
                <w:color w:val="333333"/>
                <w:sz w:val="14"/>
                <w:szCs w:val="18"/>
                <w:lang w:eastAsia="en-US"/>
              </w:rPr>
            </w:pPr>
            <w:r w:rsidRPr="00370C25">
              <w:t>2 (16,67%)</w:t>
            </w:r>
          </w:p>
        </w:tc>
      </w:tr>
      <w:tr w:rsidR="00F42807" w:rsidRPr="00370C25" w14:paraId="5C497F95" w14:textId="77777777" w:rsidTr="00F42807">
        <w:trPr>
          <w:jc w:val="center"/>
        </w:trPr>
        <w:tc>
          <w:tcPr>
            <w:tcW w:w="1666" w:type="dxa"/>
          </w:tcPr>
          <w:p w14:paraId="2FAA32A8" w14:textId="380D4923" w:rsidR="00F42807" w:rsidRPr="00370C25" w:rsidRDefault="00F42807" w:rsidP="00F42807">
            <w:pPr>
              <w:pStyle w:val="11-Table-T"/>
              <w:rPr>
                <w:color w:val="333333"/>
                <w:sz w:val="14"/>
                <w:szCs w:val="18"/>
                <w:lang w:eastAsia="en-US"/>
              </w:rPr>
            </w:pPr>
            <w:r w:rsidRPr="00370C25">
              <w:t>NVP/FTC/TAF</w:t>
            </w:r>
          </w:p>
        </w:tc>
        <w:tc>
          <w:tcPr>
            <w:tcW w:w="2157" w:type="dxa"/>
            <w:shd w:val="clear" w:color="auto" w:fill="FFFFFF" w:themeFill="background1"/>
          </w:tcPr>
          <w:p w14:paraId="2F66281B" w14:textId="70BBA50B" w:rsidR="00F42807" w:rsidRPr="00370C25" w:rsidRDefault="00F42807" w:rsidP="00F42807">
            <w:pPr>
              <w:pStyle w:val="11-Table-T"/>
              <w:rPr>
                <w:color w:val="333333"/>
                <w:sz w:val="14"/>
                <w:szCs w:val="18"/>
                <w:lang w:eastAsia="en-US"/>
              </w:rPr>
            </w:pPr>
            <w:r w:rsidRPr="00370C25">
              <w:t>1 (8,32%)</w:t>
            </w:r>
          </w:p>
        </w:tc>
      </w:tr>
      <w:tr w:rsidR="00F42807" w:rsidRPr="00370C25" w14:paraId="50E15595" w14:textId="77777777" w:rsidTr="00F42807">
        <w:trPr>
          <w:jc w:val="center"/>
        </w:trPr>
        <w:tc>
          <w:tcPr>
            <w:tcW w:w="1666" w:type="dxa"/>
          </w:tcPr>
          <w:p w14:paraId="0AB06367" w14:textId="42E87495" w:rsidR="00F42807" w:rsidRPr="00370C25" w:rsidRDefault="00F42807" w:rsidP="00F42807">
            <w:pPr>
              <w:pStyle w:val="11-Table-T"/>
              <w:rPr>
                <w:sz w:val="14"/>
                <w:szCs w:val="18"/>
              </w:rPr>
            </w:pPr>
            <w:r w:rsidRPr="00370C25">
              <w:t>RAL/ABC/3TC</w:t>
            </w:r>
          </w:p>
        </w:tc>
        <w:tc>
          <w:tcPr>
            <w:tcW w:w="2157" w:type="dxa"/>
            <w:shd w:val="clear" w:color="auto" w:fill="FFFFFF" w:themeFill="background1"/>
          </w:tcPr>
          <w:p w14:paraId="2BE22BF4" w14:textId="6ACD5364" w:rsidR="00F42807" w:rsidRPr="00370C25" w:rsidRDefault="00F42807" w:rsidP="00F42807">
            <w:pPr>
              <w:pStyle w:val="11-Table-T"/>
              <w:rPr>
                <w:sz w:val="14"/>
                <w:szCs w:val="18"/>
              </w:rPr>
            </w:pPr>
            <w:r w:rsidRPr="00370C25">
              <w:t>2 (16,67%)</w:t>
            </w:r>
          </w:p>
        </w:tc>
      </w:tr>
      <w:tr w:rsidR="00F42807" w:rsidRPr="00370C25" w14:paraId="6A22349D" w14:textId="77777777" w:rsidTr="00F42807">
        <w:trPr>
          <w:jc w:val="center"/>
        </w:trPr>
        <w:tc>
          <w:tcPr>
            <w:tcW w:w="1666" w:type="dxa"/>
          </w:tcPr>
          <w:p w14:paraId="6F9D1675" w14:textId="75CFDC96" w:rsidR="00F42807" w:rsidRPr="00370C25" w:rsidRDefault="00F42807" w:rsidP="00F42807">
            <w:pPr>
              <w:pStyle w:val="11-Table-T"/>
              <w:rPr>
                <w:sz w:val="14"/>
                <w:szCs w:val="18"/>
              </w:rPr>
            </w:pPr>
            <w:r w:rsidRPr="00370C25">
              <w:t>RAL/FTC/TAF</w:t>
            </w:r>
          </w:p>
        </w:tc>
        <w:tc>
          <w:tcPr>
            <w:tcW w:w="2157" w:type="dxa"/>
            <w:shd w:val="clear" w:color="auto" w:fill="FFFFFF" w:themeFill="background1"/>
          </w:tcPr>
          <w:p w14:paraId="787384D4" w14:textId="424E692B" w:rsidR="00F42807" w:rsidRPr="00370C25" w:rsidRDefault="00F42807" w:rsidP="00F42807">
            <w:pPr>
              <w:pStyle w:val="11-Table-T"/>
              <w:rPr>
                <w:sz w:val="14"/>
                <w:szCs w:val="18"/>
              </w:rPr>
            </w:pPr>
            <w:r w:rsidRPr="00370C25">
              <w:t>3 (25%)</w:t>
            </w:r>
          </w:p>
        </w:tc>
      </w:tr>
      <w:tr w:rsidR="00F42807" w:rsidRPr="00370C25" w14:paraId="34C99A26" w14:textId="77777777" w:rsidTr="00F42807">
        <w:trPr>
          <w:jc w:val="center"/>
        </w:trPr>
        <w:tc>
          <w:tcPr>
            <w:tcW w:w="1666" w:type="dxa"/>
          </w:tcPr>
          <w:p w14:paraId="3D496518" w14:textId="17163F07" w:rsidR="00F42807" w:rsidRPr="00370C25" w:rsidRDefault="00F42807" w:rsidP="00F42807">
            <w:pPr>
              <w:pStyle w:val="11-Table-T"/>
              <w:rPr>
                <w:sz w:val="14"/>
                <w:szCs w:val="18"/>
              </w:rPr>
            </w:pPr>
            <w:r w:rsidRPr="00370C25">
              <w:t>RPV/FTC/TAF</w:t>
            </w:r>
          </w:p>
        </w:tc>
        <w:tc>
          <w:tcPr>
            <w:tcW w:w="2157" w:type="dxa"/>
            <w:shd w:val="clear" w:color="auto" w:fill="FFFFFF" w:themeFill="background1"/>
          </w:tcPr>
          <w:p w14:paraId="43B81F70" w14:textId="4B7CA3C5" w:rsidR="00F42807" w:rsidRPr="00370C25" w:rsidRDefault="00F42807" w:rsidP="00F42807">
            <w:pPr>
              <w:pStyle w:val="11-Table-T"/>
              <w:rPr>
                <w:sz w:val="14"/>
                <w:szCs w:val="18"/>
              </w:rPr>
            </w:pPr>
            <w:r w:rsidRPr="00370C25">
              <w:t>2 (16,67%)</w:t>
            </w:r>
          </w:p>
        </w:tc>
      </w:tr>
    </w:tbl>
    <w:p w14:paraId="237BF0CE" w14:textId="0420AF67" w:rsidR="00F42807" w:rsidRPr="00370C25" w:rsidRDefault="00F42807" w:rsidP="00916631">
      <w:pPr>
        <w:pStyle w:val="06-Heading-1"/>
        <w:spacing w:before="60"/>
        <w:rPr>
          <w:rFonts w:eastAsia="Times New Roman"/>
          <w:b w:val="0"/>
          <w:caps w:val="0"/>
          <w:sz w:val="15"/>
          <w:szCs w:val="15"/>
        </w:rPr>
      </w:pPr>
      <w:r w:rsidRPr="00370C25">
        <w:rPr>
          <w:rFonts w:eastAsia="Times New Roman"/>
          <w:b w:val="0"/>
          <w:caps w:val="0"/>
          <w:sz w:val="15"/>
          <w:szCs w:val="15"/>
        </w:rPr>
        <w:t xml:space="preserve">DRV = </w:t>
      </w:r>
      <w:r w:rsidR="00C0460F" w:rsidRPr="00370C25">
        <w:rPr>
          <w:rFonts w:eastAsia="Times New Roman"/>
          <w:b w:val="0"/>
          <w:caps w:val="0"/>
          <w:sz w:val="15"/>
          <w:szCs w:val="15"/>
        </w:rPr>
        <w:t>Darunavir</w:t>
      </w:r>
      <w:r w:rsidRPr="00370C25">
        <w:rPr>
          <w:rFonts w:eastAsia="Times New Roman"/>
          <w:b w:val="0"/>
          <w:caps w:val="0"/>
          <w:sz w:val="15"/>
          <w:szCs w:val="15"/>
        </w:rPr>
        <w:t>; COBI = Cobicistat; FTC = Emtricitabin</w:t>
      </w:r>
      <w:r w:rsidR="00552CBA" w:rsidRPr="00370C25">
        <w:rPr>
          <w:rFonts w:eastAsia="Times New Roman"/>
          <w:b w:val="0"/>
          <w:caps w:val="0"/>
          <w:sz w:val="15"/>
          <w:szCs w:val="15"/>
        </w:rPr>
        <w:t>e</w:t>
      </w:r>
      <w:r w:rsidRPr="00370C25">
        <w:rPr>
          <w:rFonts w:eastAsia="Times New Roman"/>
          <w:b w:val="0"/>
          <w:caps w:val="0"/>
          <w:sz w:val="15"/>
          <w:szCs w:val="15"/>
        </w:rPr>
        <w:t>; TAF = Tenofovir Alafenamide; DTG = Dolutegravir; ABC = Abacavir; 3TC = Lamivudin</w:t>
      </w:r>
      <w:r w:rsidR="00552CBA" w:rsidRPr="00370C25">
        <w:rPr>
          <w:rFonts w:eastAsia="Times New Roman"/>
          <w:b w:val="0"/>
          <w:caps w:val="0"/>
          <w:sz w:val="15"/>
          <w:szCs w:val="15"/>
        </w:rPr>
        <w:t>e</w:t>
      </w:r>
      <w:r w:rsidRPr="00370C25">
        <w:rPr>
          <w:rFonts w:eastAsia="Times New Roman"/>
          <w:b w:val="0"/>
          <w:caps w:val="0"/>
          <w:sz w:val="15"/>
          <w:szCs w:val="15"/>
        </w:rPr>
        <w:t>; N</w:t>
      </w:r>
      <w:r w:rsidR="00C0460F" w:rsidRPr="00370C25">
        <w:rPr>
          <w:rFonts w:eastAsia="Times New Roman"/>
          <w:b w:val="0"/>
          <w:caps w:val="0"/>
          <w:sz w:val="15"/>
          <w:szCs w:val="15"/>
        </w:rPr>
        <w:t>V</w:t>
      </w:r>
      <w:r w:rsidRPr="00370C25">
        <w:rPr>
          <w:rFonts w:eastAsia="Times New Roman"/>
          <w:b w:val="0"/>
          <w:caps w:val="0"/>
          <w:sz w:val="15"/>
          <w:szCs w:val="15"/>
        </w:rPr>
        <w:t>P = Nevirapin</w:t>
      </w:r>
      <w:r w:rsidR="00552CBA" w:rsidRPr="00370C25">
        <w:rPr>
          <w:rFonts w:eastAsia="Times New Roman"/>
          <w:b w:val="0"/>
          <w:caps w:val="0"/>
          <w:sz w:val="15"/>
          <w:szCs w:val="15"/>
        </w:rPr>
        <w:t>e</w:t>
      </w:r>
      <w:r w:rsidRPr="00370C25">
        <w:rPr>
          <w:rFonts w:eastAsia="Times New Roman"/>
          <w:b w:val="0"/>
          <w:caps w:val="0"/>
          <w:sz w:val="15"/>
          <w:szCs w:val="15"/>
        </w:rPr>
        <w:t xml:space="preserve">; RAL = </w:t>
      </w:r>
      <w:proofErr w:type="spellStart"/>
      <w:r w:rsidRPr="00370C25">
        <w:rPr>
          <w:rFonts w:eastAsia="Times New Roman"/>
          <w:b w:val="0"/>
          <w:caps w:val="0"/>
          <w:sz w:val="15"/>
          <w:szCs w:val="15"/>
        </w:rPr>
        <w:t>Raltegravir</w:t>
      </w:r>
      <w:proofErr w:type="spellEnd"/>
      <w:r w:rsidRPr="00370C25">
        <w:rPr>
          <w:rFonts w:eastAsia="Times New Roman"/>
          <w:b w:val="0"/>
          <w:caps w:val="0"/>
          <w:sz w:val="15"/>
          <w:szCs w:val="15"/>
        </w:rPr>
        <w:t>; RPV = Rilpivirin</w:t>
      </w:r>
      <w:r w:rsidR="00552CBA" w:rsidRPr="00370C25">
        <w:rPr>
          <w:rFonts w:eastAsia="Times New Roman"/>
          <w:b w:val="0"/>
          <w:caps w:val="0"/>
          <w:sz w:val="15"/>
          <w:szCs w:val="15"/>
        </w:rPr>
        <w:t>e</w:t>
      </w:r>
      <w:r w:rsidRPr="00370C25">
        <w:rPr>
          <w:rFonts w:eastAsia="Times New Roman"/>
          <w:b w:val="0"/>
          <w:caps w:val="0"/>
          <w:sz w:val="15"/>
          <w:szCs w:val="15"/>
        </w:rPr>
        <w:t xml:space="preserve">. </w:t>
      </w:r>
    </w:p>
    <w:p w14:paraId="10095E6D" w14:textId="77777777" w:rsidR="00F42807" w:rsidRPr="00370C25" w:rsidRDefault="00000000" w:rsidP="00F42807">
      <w:pPr>
        <w:pStyle w:val="Nessunaspaziatura"/>
        <w:jc w:val="both"/>
        <w:rPr>
          <w:color w:val="A6A6A6"/>
          <w:sz w:val="21"/>
          <w:szCs w:val="21"/>
          <w:lang w:eastAsia="en-US"/>
        </w:rPr>
      </w:pPr>
      <w:sdt>
        <w:sdtPr>
          <w:rPr>
            <w:color w:val="A6A6A6"/>
            <w:sz w:val="21"/>
            <w:szCs w:val="21"/>
            <w:lang w:eastAsia="en-US"/>
          </w:rPr>
          <w:id w:val="-1498108240"/>
          <w:placeholder>
            <w:docPart w:val="F28C7873B7CD4696B910E2323C9EA9B5"/>
          </w:placeholder>
        </w:sdtPr>
        <w:sdtContent>
          <w:r w:rsidR="00F42807" w:rsidRPr="00370C25">
            <w:rPr>
              <w:b/>
              <w:bCs/>
              <w:sz w:val="21"/>
              <w:szCs w:val="21"/>
            </w:rPr>
            <w:t>3.2. Serum NGF and BDNF levels</w:t>
          </w:r>
        </w:sdtContent>
      </w:sdt>
    </w:p>
    <w:sdt>
      <w:sdtPr>
        <w:rPr>
          <w:color w:val="A6A6A6"/>
          <w:sz w:val="21"/>
          <w:szCs w:val="21"/>
          <w:lang w:eastAsia="en-US"/>
        </w:rPr>
        <w:id w:val="-1907523110"/>
        <w:placeholder>
          <w:docPart w:val="58DAC1D088A049F5AE0105DB059A085D"/>
        </w:placeholder>
      </w:sdtPr>
      <w:sdtContent>
        <w:p w14:paraId="52783FEE" w14:textId="18BCEA73" w:rsidR="00F42807" w:rsidRPr="00370C25" w:rsidRDefault="009F6B4B" w:rsidP="00F42807">
          <w:pPr>
            <w:ind w:firstLine="284"/>
            <w:jc w:val="both"/>
            <w:rPr>
              <w:color w:val="A6A6A6"/>
              <w:sz w:val="21"/>
              <w:szCs w:val="21"/>
              <w:lang w:eastAsia="en-US"/>
            </w:rPr>
          </w:pPr>
          <w:r w:rsidRPr="00370C25">
            <w:rPr>
              <w:sz w:val="21"/>
              <w:szCs w:val="21"/>
            </w:rPr>
            <w:t>L</w:t>
          </w:r>
          <w:r w:rsidR="00F42807" w:rsidRPr="00370C25">
            <w:rPr>
              <w:sz w:val="21"/>
              <w:szCs w:val="21"/>
            </w:rPr>
            <w:t xml:space="preserve">evels of NGF and BDNF were evaluated in all serum samples collected from </w:t>
          </w:r>
          <w:r w:rsidRPr="00370C25">
            <w:rPr>
              <w:sz w:val="21"/>
              <w:szCs w:val="21"/>
            </w:rPr>
            <w:t>the</w:t>
          </w:r>
          <w:r w:rsidR="00F42807" w:rsidRPr="00370C25">
            <w:rPr>
              <w:sz w:val="21"/>
              <w:szCs w:val="21"/>
            </w:rPr>
            <w:t xml:space="preserve"> PLWH </w:t>
          </w:r>
          <w:r w:rsidRPr="00370C25">
            <w:rPr>
              <w:sz w:val="21"/>
              <w:szCs w:val="21"/>
            </w:rPr>
            <w:t xml:space="preserve">groups </w:t>
          </w:r>
          <w:r w:rsidR="00F42807" w:rsidRPr="00370C25">
            <w:rPr>
              <w:sz w:val="21"/>
              <w:szCs w:val="21"/>
            </w:rPr>
            <w:t xml:space="preserve">and </w:t>
          </w:r>
          <w:r w:rsidRPr="00370C25">
            <w:rPr>
              <w:sz w:val="21"/>
              <w:szCs w:val="21"/>
            </w:rPr>
            <w:t>the</w:t>
          </w:r>
          <w:r w:rsidR="00F42807" w:rsidRPr="00370C25">
            <w:rPr>
              <w:sz w:val="21"/>
              <w:szCs w:val="21"/>
            </w:rPr>
            <w:t xml:space="preserve"> HC groups </w:t>
          </w:r>
          <w:r w:rsidRPr="00370C25">
            <w:rPr>
              <w:sz w:val="21"/>
              <w:szCs w:val="21"/>
            </w:rPr>
            <w:t>(</w:t>
          </w:r>
          <w:r w:rsidR="00F42807" w:rsidRPr="00370C25">
            <w:rPr>
              <w:sz w:val="21"/>
              <w:szCs w:val="21"/>
            </w:rPr>
            <w:t>1 and 2</w:t>
          </w:r>
          <w:r w:rsidRPr="00370C25">
            <w:rPr>
              <w:sz w:val="21"/>
              <w:szCs w:val="21"/>
            </w:rPr>
            <w:t>)</w:t>
          </w:r>
          <w:r w:rsidR="00F42807" w:rsidRPr="00370C25">
            <w:rPr>
              <w:sz w:val="21"/>
              <w:szCs w:val="21"/>
            </w:rPr>
            <w:t xml:space="preserve">. </w:t>
          </w:r>
          <w:bookmarkStart w:id="4" w:name="_Hlk215049716"/>
          <w:r w:rsidR="00F42807" w:rsidRPr="00370C25">
            <w:rPr>
              <w:sz w:val="21"/>
              <w:szCs w:val="21"/>
            </w:rPr>
            <w:t>First, we observed increased NGF levels in ART-</w:t>
          </w:r>
          <w:proofErr w:type="gramStart"/>
          <w:r w:rsidR="00F42807" w:rsidRPr="00370C25">
            <w:rPr>
              <w:sz w:val="21"/>
              <w:szCs w:val="21"/>
            </w:rPr>
            <w:t>naïve</w:t>
          </w:r>
          <w:proofErr w:type="gramEnd"/>
          <w:r w:rsidR="00F42807" w:rsidRPr="00370C25">
            <w:rPr>
              <w:sz w:val="21"/>
              <w:szCs w:val="21"/>
            </w:rPr>
            <w:t xml:space="preserve"> PLWH compared to HC group 1 (p = 0.0036), while no difference was found between ART-treated PLWH and HC group 2 (Fig. 1a). By contrast, BDNF levels were reduced in ART-</w:t>
          </w:r>
          <w:proofErr w:type="gramStart"/>
          <w:r w:rsidR="00F42807" w:rsidRPr="00370C25">
            <w:rPr>
              <w:sz w:val="21"/>
              <w:szCs w:val="21"/>
            </w:rPr>
            <w:t>naïve</w:t>
          </w:r>
          <w:proofErr w:type="gramEnd"/>
          <w:r w:rsidR="00F42807" w:rsidRPr="00370C25">
            <w:rPr>
              <w:sz w:val="21"/>
              <w:szCs w:val="21"/>
            </w:rPr>
            <w:t xml:space="preserve"> PLWH compared to HC group 1 (p &lt; 0.0001), while similar values were observed between ART-treated PLWH and HC group 2 (Fig. 1b). To assess the influence of age on serum </w:t>
          </w:r>
          <w:proofErr w:type="spellStart"/>
          <w:r w:rsidR="00F42807" w:rsidRPr="00370C25">
            <w:rPr>
              <w:sz w:val="21"/>
              <w:szCs w:val="21"/>
            </w:rPr>
            <w:t>neurotrophin</w:t>
          </w:r>
          <w:proofErr w:type="spellEnd"/>
          <w:r w:rsidR="00F42807" w:rsidRPr="00370C25">
            <w:rPr>
              <w:sz w:val="21"/>
              <w:szCs w:val="21"/>
            </w:rPr>
            <w:t xml:space="preserve"> levels, correlation analyses were performed </w:t>
          </w:r>
          <w:r w:rsidRPr="00370C25">
            <w:rPr>
              <w:sz w:val="21"/>
              <w:szCs w:val="21"/>
            </w:rPr>
            <w:t>o</w:t>
          </w:r>
          <w:r w:rsidR="00F42807" w:rsidRPr="00370C25">
            <w:rPr>
              <w:sz w:val="21"/>
              <w:szCs w:val="21"/>
            </w:rPr>
            <w:t xml:space="preserve">n individual groups, </w:t>
          </w:r>
          <w:r w:rsidRPr="00370C25">
            <w:rPr>
              <w:sz w:val="21"/>
              <w:szCs w:val="21"/>
            </w:rPr>
            <w:t xml:space="preserve">on a single group </w:t>
          </w:r>
          <w:r w:rsidR="00F42807" w:rsidRPr="00370C25">
            <w:rPr>
              <w:sz w:val="21"/>
              <w:szCs w:val="21"/>
            </w:rPr>
            <w:t xml:space="preserve">considering all HCs </w:t>
          </w:r>
          <w:r w:rsidR="00C0460F" w:rsidRPr="00370C25">
            <w:rPr>
              <w:sz w:val="21"/>
              <w:szCs w:val="21"/>
            </w:rPr>
            <w:t xml:space="preserve">together </w:t>
          </w:r>
          <w:r w:rsidR="00F42807" w:rsidRPr="00370C25">
            <w:rPr>
              <w:sz w:val="21"/>
              <w:szCs w:val="21"/>
            </w:rPr>
            <w:t xml:space="preserve">or </w:t>
          </w:r>
          <w:r w:rsidRPr="00370C25">
            <w:rPr>
              <w:sz w:val="21"/>
              <w:szCs w:val="21"/>
            </w:rPr>
            <w:t>o</w:t>
          </w:r>
          <w:r w:rsidR="00F42807" w:rsidRPr="00370C25">
            <w:rPr>
              <w:sz w:val="21"/>
              <w:szCs w:val="21"/>
            </w:rPr>
            <w:t xml:space="preserve">n the total study population. </w:t>
          </w:r>
          <w:r w:rsidRPr="00370C25">
            <w:rPr>
              <w:sz w:val="21"/>
              <w:szCs w:val="21"/>
            </w:rPr>
            <w:t>N</w:t>
          </w:r>
          <w:r w:rsidR="00F42807" w:rsidRPr="00370C25">
            <w:rPr>
              <w:sz w:val="21"/>
              <w:szCs w:val="21"/>
            </w:rPr>
            <w:t xml:space="preserve">o significant </w:t>
          </w:r>
          <w:r w:rsidR="00F42807" w:rsidRPr="00370C25">
            <w:rPr>
              <w:sz w:val="21"/>
              <w:szCs w:val="21"/>
            </w:rPr>
            <w:lastRenderedPageBreak/>
            <w:t xml:space="preserve">correlation </w:t>
          </w:r>
          <w:proofErr w:type="gramStart"/>
          <w:r w:rsidR="00F42807" w:rsidRPr="00370C25">
            <w:rPr>
              <w:sz w:val="21"/>
              <w:szCs w:val="21"/>
            </w:rPr>
            <w:t>for</w:t>
          </w:r>
          <w:proofErr w:type="gramEnd"/>
          <w:r w:rsidR="00F42807" w:rsidRPr="00370C25">
            <w:rPr>
              <w:sz w:val="21"/>
              <w:szCs w:val="21"/>
            </w:rPr>
            <w:t xml:space="preserve"> NGF or BDNF was found</w:t>
          </w:r>
          <w:r w:rsidRPr="00370C25">
            <w:rPr>
              <w:sz w:val="21"/>
              <w:szCs w:val="21"/>
            </w:rPr>
            <w:t xml:space="preserve"> in any of these conditions</w:t>
          </w:r>
          <w:r w:rsidR="00F42807" w:rsidRPr="00370C25">
            <w:rPr>
              <w:sz w:val="21"/>
              <w:szCs w:val="21"/>
            </w:rPr>
            <w:t>. Finally, considering the overall population, a negative correlation between the serum levels of NGF and BDNF was observed (Fig. 1c) (r = -0.3970; p = 0.0069).</w:t>
          </w:r>
        </w:p>
        <w:bookmarkEnd w:id="4" w:displacedByCustomXml="next"/>
      </w:sdtContent>
    </w:sdt>
    <w:p w14:paraId="46FD3243" w14:textId="383E565C" w:rsidR="00C33410" w:rsidRPr="00370C25" w:rsidRDefault="00C33410" w:rsidP="00C33410">
      <w:pPr>
        <w:pStyle w:val="05-ArticleText"/>
        <w:rPr>
          <w:color w:val="A6A6A6"/>
          <w:sz w:val="21"/>
          <w:szCs w:val="21"/>
          <w:lang w:eastAsia="en-US"/>
        </w:rPr>
      </w:pPr>
    </w:p>
    <w:p w14:paraId="7A7E18E4" w14:textId="77777777" w:rsidR="00C33410" w:rsidRPr="00370C25" w:rsidRDefault="00C33410" w:rsidP="00C33410">
      <w:pPr>
        <w:pStyle w:val="05-ArticleText"/>
        <w:rPr>
          <w:color w:val="A6A6A6"/>
          <w:sz w:val="21"/>
          <w:szCs w:val="21"/>
          <w:lang w:eastAsia="en-US"/>
        </w:rPr>
      </w:pPr>
    </w:p>
    <w:sdt>
      <w:sdtPr>
        <w:rPr>
          <w:noProof/>
          <w:lang w:eastAsia="en-US"/>
        </w:rPr>
        <w:id w:val="1918665524"/>
        <w:picture/>
      </w:sdtPr>
      <w:sdtContent>
        <w:p w14:paraId="528DD9E3" w14:textId="2C35A4F4" w:rsidR="00C33410" w:rsidRPr="00370C25" w:rsidRDefault="00026962" w:rsidP="00C33410">
          <w:pPr>
            <w:shd w:val="clear" w:color="auto" w:fill="FFFFFF"/>
            <w:suppressAutoHyphens w:val="0"/>
            <w:spacing w:after="150"/>
            <w:jc w:val="center"/>
            <w:rPr>
              <w:color w:val="333333"/>
              <w:sz w:val="21"/>
              <w:szCs w:val="21"/>
              <w:lang w:eastAsia="en-US"/>
            </w:rPr>
          </w:pPr>
          <w:r w:rsidRPr="00370C25">
            <w:rPr>
              <w:noProof/>
              <w:lang w:eastAsia="en-US"/>
            </w:rPr>
            <w:drawing>
              <wp:inline distT="0" distB="0" distL="0" distR="0" wp14:anchorId="2105F318" wp14:editId="5BCD5C44">
                <wp:extent cx="2925845" cy="1991682"/>
                <wp:effectExtent l="0" t="0" r="825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stretch>
                          <a:fillRect/>
                        </a:stretch>
                      </pic:blipFill>
                      <pic:spPr bwMode="auto">
                        <a:xfrm>
                          <a:off x="0" y="0"/>
                          <a:ext cx="2925845" cy="1991682"/>
                        </a:xfrm>
                        <a:prstGeom prst="rect">
                          <a:avLst/>
                        </a:prstGeom>
                        <a:noFill/>
                        <a:ln>
                          <a:noFill/>
                        </a:ln>
                      </pic:spPr>
                    </pic:pic>
                  </a:graphicData>
                </a:graphic>
              </wp:inline>
            </w:drawing>
          </w:r>
        </w:p>
      </w:sdtContent>
    </w:sdt>
    <w:p w14:paraId="26ECCB6F" w14:textId="18438573" w:rsidR="00C33410" w:rsidRPr="00370C25" w:rsidRDefault="00C33410" w:rsidP="002E1C96">
      <w:pPr>
        <w:shd w:val="clear" w:color="auto" w:fill="FFFFFF"/>
        <w:suppressAutoHyphens w:val="0"/>
        <w:spacing w:before="100" w:beforeAutospacing="1" w:after="100" w:afterAutospacing="1"/>
        <w:jc w:val="both"/>
        <w:rPr>
          <w:color w:val="A6A6A6"/>
          <w:sz w:val="18"/>
          <w:szCs w:val="18"/>
          <w:lang w:eastAsia="en-US"/>
        </w:rPr>
      </w:pPr>
      <w:r w:rsidRPr="00370C25">
        <w:rPr>
          <w:b/>
          <w:sz w:val="18"/>
          <w:szCs w:val="18"/>
        </w:rPr>
        <w:t xml:space="preserve">Fig. (1). </w:t>
      </w:r>
      <w:sdt>
        <w:sdtPr>
          <w:rPr>
            <w:b/>
            <w:sz w:val="21"/>
            <w:szCs w:val="21"/>
          </w:rPr>
          <w:id w:val="1932932854"/>
          <w:placeholder>
            <w:docPart w:val="C4039AFDECBD4B6CB1079F3B47B73718"/>
          </w:placeholder>
        </w:sdtPr>
        <w:sdtEndPr>
          <w:rPr>
            <w:b w:val="0"/>
            <w:color w:val="A6A6A6"/>
            <w:lang w:eastAsia="en-US"/>
          </w:rPr>
        </w:sdtEndPr>
        <w:sdtContent>
          <w:r w:rsidR="002E1C96" w:rsidRPr="00370C25">
            <w:rPr>
              <w:sz w:val="18"/>
              <w:szCs w:val="18"/>
            </w:rPr>
            <w:t xml:space="preserve">Comparison of serum NGF </w:t>
          </w:r>
          <w:r w:rsidR="002E1C96" w:rsidRPr="00370C25">
            <w:rPr>
              <w:b/>
              <w:bCs/>
              <w:sz w:val="18"/>
              <w:szCs w:val="18"/>
            </w:rPr>
            <w:t>(a)</w:t>
          </w:r>
          <w:r w:rsidR="002E1C96" w:rsidRPr="00370C25">
            <w:rPr>
              <w:sz w:val="18"/>
              <w:szCs w:val="18"/>
            </w:rPr>
            <w:t xml:space="preserve"> and BDNF </w:t>
          </w:r>
          <w:r w:rsidR="002E1C96" w:rsidRPr="00370C25">
            <w:rPr>
              <w:b/>
              <w:bCs/>
              <w:sz w:val="18"/>
              <w:szCs w:val="18"/>
            </w:rPr>
            <w:t>(b)</w:t>
          </w:r>
          <w:r w:rsidR="002E1C96" w:rsidRPr="00370C25">
            <w:rPr>
              <w:sz w:val="18"/>
              <w:szCs w:val="18"/>
            </w:rPr>
            <w:t xml:space="preserve"> levels between ART-</w:t>
          </w:r>
          <w:proofErr w:type="gramStart"/>
          <w:r w:rsidR="002E1C96" w:rsidRPr="00370C25">
            <w:rPr>
              <w:sz w:val="18"/>
              <w:szCs w:val="18"/>
            </w:rPr>
            <w:t>naïve</w:t>
          </w:r>
          <w:proofErr w:type="gramEnd"/>
          <w:r w:rsidR="002E1C96" w:rsidRPr="00370C25">
            <w:rPr>
              <w:sz w:val="18"/>
              <w:szCs w:val="18"/>
            </w:rPr>
            <w:t xml:space="preserve">, ART-treated and HIV negative individuals and Spearman correlation analysis of NGF and BDNF </w:t>
          </w:r>
          <w:r w:rsidR="002E1C96" w:rsidRPr="00370C25">
            <w:rPr>
              <w:b/>
              <w:bCs/>
              <w:sz w:val="18"/>
              <w:szCs w:val="18"/>
            </w:rPr>
            <w:t>(c)</w:t>
          </w:r>
          <w:r w:rsidR="002E1C96" w:rsidRPr="00370C25">
            <w:rPr>
              <w:sz w:val="18"/>
              <w:szCs w:val="18"/>
            </w:rPr>
            <w:t>.</w:t>
          </w:r>
        </w:sdtContent>
      </w:sdt>
    </w:p>
    <w:p w14:paraId="161345C8" w14:textId="4B487D2F" w:rsidR="002E1C96" w:rsidRPr="00370C25" w:rsidRDefault="00000000" w:rsidP="002E1C96">
      <w:pPr>
        <w:pStyle w:val="Nessunaspaziatura"/>
        <w:jc w:val="both"/>
        <w:rPr>
          <w:color w:val="A6A6A6"/>
          <w:sz w:val="21"/>
          <w:szCs w:val="21"/>
          <w:lang w:eastAsia="en-US"/>
        </w:rPr>
      </w:pPr>
      <w:sdt>
        <w:sdtPr>
          <w:rPr>
            <w:color w:val="A6A6A6"/>
            <w:sz w:val="21"/>
            <w:szCs w:val="21"/>
            <w:lang w:eastAsia="en-US"/>
          </w:rPr>
          <w:id w:val="1426151076"/>
          <w:placeholder>
            <w:docPart w:val="B036422394CE4C12A33E16E03D8528F2"/>
          </w:placeholder>
        </w:sdtPr>
        <w:sdtContent>
          <w:r w:rsidR="002E1C96" w:rsidRPr="00370C25">
            <w:rPr>
              <w:b/>
              <w:bCs/>
              <w:sz w:val="21"/>
              <w:szCs w:val="21"/>
            </w:rPr>
            <w:t xml:space="preserve">3.3. Associations with </w:t>
          </w:r>
          <w:proofErr w:type="spellStart"/>
          <w:r w:rsidR="002E1C96" w:rsidRPr="00370C25">
            <w:rPr>
              <w:b/>
              <w:bCs/>
              <w:sz w:val="21"/>
              <w:szCs w:val="21"/>
            </w:rPr>
            <w:t>viro</w:t>
          </w:r>
          <w:proofErr w:type="spellEnd"/>
          <w:r w:rsidR="002E1C96" w:rsidRPr="00370C25">
            <w:rPr>
              <w:b/>
              <w:bCs/>
              <w:sz w:val="21"/>
              <w:szCs w:val="21"/>
            </w:rPr>
            <w:t>-immunological biomarkers</w:t>
          </w:r>
        </w:sdtContent>
      </w:sdt>
    </w:p>
    <w:p w14:paraId="6A9DC4BD" w14:textId="77777777" w:rsidR="002E1C96" w:rsidRPr="00370C25" w:rsidRDefault="002E1C96" w:rsidP="002E1C96">
      <w:pPr>
        <w:ind w:firstLine="284"/>
        <w:jc w:val="both"/>
        <w:rPr>
          <w:b/>
          <w:bCs/>
          <w:sz w:val="21"/>
          <w:szCs w:val="21"/>
        </w:rPr>
      </w:pPr>
      <w:r w:rsidRPr="00370C25">
        <w:rPr>
          <w:sz w:val="21"/>
          <w:szCs w:val="21"/>
        </w:rPr>
        <w:t xml:space="preserve">To assess the influence of current and historical </w:t>
      </w:r>
      <w:proofErr w:type="spellStart"/>
      <w:r w:rsidRPr="00370C25">
        <w:rPr>
          <w:sz w:val="21"/>
          <w:szCs w:val="21"/>
        </w:rPr>
        <w:t>viro</w:t>
      </w:r>
      <w:proofErr w:type="spellEnd"/>
      <w:r w:rsidRPr="00370C25">
        <w:rPr>
          <w:sz w:val="21"/>
          <w:szCs w:val="21"/>
        </w:rPr>
        <w:t xml:space="preserve">-immunological markers or ART exposure time on serum </w:t>
      </w:r>
      <w:proofErr w:type="spellStart"/>
      <w:r w:rsidRPr="00370C25">
        <w:rPr>
          <w:sz w:val="21"/>
          <w:szCs w:val="21"/>
        </w:rPr>
        <w:t>neurotrophin</w:t>
      </w:r>
      <w:proofErr w:type="spellEnd"/>
      <w:r w:rsidRPr="00370C25">
        <w:rPr>
          <w:sz w:val="21"/>
          <w:szCs w:val="21"/>
        </w:rPr>
        <w:t xml:space="preserve"> levels, correlation analyses were performed in all PLWH enrolled in the study. </w:t>
      </w:r>
      <w:bookmarkStart w:id="5" w:name="_Hlk215050802"/>
      <w:r w:rsidRPr="00370C25">
        <w:rPr>
          <w:sz w:val="21"/>
          <w:szCs w:val="21"/>
        </w:rPr>
        <w:t>Blood CD4</w:t>
      </w:r>
      <w:r w:rsidRPr="00370C25">
        <w:rPr>
          <w:sz w:val="21"/>
          <w:szCs w:val="21"/>
          <w:vertAlign w:val="superscript"/>
        </w:rPr>
        <w:t>+</w:t>
      </w:r>
      <w:r w:rsidRPr="00370C25">
        <w:rPr>
          <w:sz w:val="21"/>
          <w:szCs w:val="21"/>
        </w:rPr>
        <w:t xml:space="preserve"> T cell counts at enrollment showed a negative and a positive correlation with serum levels of NGF (r = -0.5028; p = 0.0123) and BDNF (r = 0.5859; p = 0.0026), respectively (Fig. 2a-b). Moreover, the CD4/CD8 ratio at enrollment had a positive correlation with serum BDNF (r = 0.5325; p = 0.013), but not NGF levels (Fig. 2c-d). No correlation was found between blood CD8</w:t>
      </w:r>
      <w:r w:rsidRPr="00370C25">
        <w:rPr>
          <w:sz w:val="21"/>
          <w:szCs w:val="21"/>
          <w:vertAlign w:val="superscript"/>
        </w:rPr>
        <w:t>+</w:t>
      </w:r>
      <w:r w:rsidRPr="00370C25">
        <w:rPr>
          <w:sz w:val="21"/>
          <w:szCs w:val="21"/>
        </w:rPr>
        <w:t xml:space="preserve"> T cell counts at enrollment and the levels of neurotrophins. Considering the historical markers in ART-treated PLWH, no correlation was observed between blood nadir CD4</w:t>
      </w:r>
      <w:r w:rsidRPr="00370C25">
        <w:rPr>
          <w:sz w:val="21"/>
          <w:szCs w:val="21"/>
          <w:vertAlign w:val="superscript"/>
        </w:rPr>
        <w:t xml:space="preserve">+ </w:t>
      </w:r>
      <w:r w:rsidRPr="00370C25">
        <w:rPr>
          <w:sz w:val="21"/>
          <w:szCs w:val="21"/>
        </w:rPr>
        <w:t xml:space="preserve">T cell counts and both NGF and BDNF, while zenith HIV-RNA levels had a positive correlation with serum NGF (r = 0.6783; p = 0.0185), but not BDNF levels (Fig. 2e-f). Finally, serum NGF and BDNF levels did not correlate with ART exposure time. </w:t>
      </w:r>
      <w:bookmarkEnd w:id="5"/>
    </w:p>
    <w:sdt>
      <w:sdtPr>
        <w:rPr>
          <w:rFonts w:ascii="Times New Roman" w:hAnsi="Times New Roman"/>
          <w:b/>
          <w:bCs/>
          <w:noProof/>
          <w:color w:val="333333"/>
          <w:sz w:val="20"/>
          <w:lang w:eastAsia="en-US" w:bidi="ar-SA"/>
        </w:rPr>
        <w:id w:val="1681007862"/>
        <w:picture/>
      </w:sdtPr>
      <w:sdtContent>
        <w:p w14:paraId="6A3F9C98" w14:textId="02945F8A" w:rsidR="00C33410" w:rsidRPr="00370C25" w:rsidRDefault="00026962" w:rsidP="002E1C96">
          <w:pPr>
            <w:pStyle w:val="MDPI51figurecaption"/>
            <w:ind w:left="0"/>
            <w:jc w:val="center"/>
            <w:rPr>
              <w:rFonts w:ascii="Times New Roman" w:hAnsi="Times New Roman"/>
              <w:b/>
              <w:bCs/>
              <w:color w:val="333333"/>
              <w:sz w:val="20"/>
              <w:lang w:eastAsia="en-US"/>
            </w:rPr>
          </w:pPr>
          <w:r w:rsidRPr="00370C25">
            <w:rPr>
              <w:rFonts w:ascii="Times New Roman" w:hAnsi="Times New Roman"/>
              <w:b/>
              <w:bCs/>
              <w:noProof/>
              <w:color w:val="333333"/>
              <w:sz w:val="20"/>
              <w:lang w:eastAsia="en-US" w:bidi="ar-SA"/>
            </w:rPr>
            <w:drawing>
              <wp:inline distT="0" distB="0" distL="0" distR="0" wp14:anchorId="18E41C4A" wp14:editId="43332339">
                <wp:extent cx="3021537" cy="2878614"/>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4"/>
                        <a:stretch>
                          <a:fillRect/>
                        </a:stretch>
                      </pic:blipFill>
                      <pic:spPr bwMode="auto">
                        <a:xfrm>
                          <a:off x="0" y="0"/>
                          <a:ext cx="3021537" cy="2878614"/>
                        </a:xfrm>
                        <a:prstGeom prst="rect">
                          <a:avLst/>
                        </a:prstGeom>
                        <a:noFill/>
                        <a:ln>
                          <a:noFill/>
                        </a:ln>
                      </pic:spPr>
                    </pic:pic>
                  </a:graphicData>
                </a:graphic>
              </wp:inline>
            </w:drawing>
          </w:r>
        </w:p>
      </w:sdtContent>
    </w:sdt>
    <w:p w14:paraId="623602BF" w14:textId="6DAF8C31" w:rsidR="00C33410" w:rsidRPr="00370C25" w:rsidRDefault="00C33410" w:rsidP="002E1C96">
      <w:pPr>
        <w:rPr>
          <w:rFonts w:ascii="Palatino Linotype" w:hAnsi="Palatino Linotype"/>
        </w:rPr>
      </w:pPr>
      <w:r w:rsidRPr="00370C25">
        <w:rPr>
          <w:b/>
          <w:sz w:val="18"/>
          <w:szCs w:val="18"/>
        </w:rPr>
        <w:t xml:space="preserve">Fig. (2). </w:t>
      </w:r>
      <w:sdt>
        <w:sdtPr>
          <w:rPr>
            <w:b/>
            <w:sz w:val="18"/>
            <w:szCs w:val="18"/>
          </w:rPr>
          <w:id w:val="133687920"/>
          <w:placeholder>
            <w:docPart w:val="BD5101FE76414B2C89366B8CC9FB97FD"/>
          </w:placeholder>
        </w:sdtPr>
        <w:sdtEndPr>
          <w:rPr>
            <w:b w:val="0"/>
            <w:color w:val="A6A6A6"/>
            <w:lang w:eastAsia="en-US"/>
          </w:rPr>
        </w:sdtEndPr>
        <w:sdtContent>
          <w:r w:rsidR="002E1C96" w:rsidRPr="00370C25">
            <w:rPr>
              <w:sz w:val="18"/>
              <w:szCs w:val="18"/>
            </w:rPr>
            <w:t>Spearman correlation analysis of serum NGF and BDNF levels with blood CD4</w:t>
          </w:r>
          <w:r w:rsidR="002E1C96" w:rsidRPr="00370C25">
            <w:rPr>
              <w:sz w:val="18"/>
              <w:szCs w:val="18"/>
              <w:vertAlign w:val="superscript"/>
            </w:rPr>
            <w:t>+</w:t>
          </w:r>
          <w:r w:rsidR="002E1C96" w:rsidRPr="00370C25">
            <w:rPr>
              <w:sz w:val="18"/>
              <w:szCs w:val="18"/>
            </w:rPr>
            <w:t xml:space="preserve"> T cell count </w:t>
          </w:r>
          <w:r w:rsidR="002E1C96" w:rsidRPr="00370C25">
            <w:rPr>
              <w:b/>
              <w:bCs/>
              <w:sz w:val="18"/>
              <w:szCs w:val="18"/>
            </w:rPr>
            <w:t>(a, b)</w:t>
          </w:r>
          <w:r w:rsidR="002E1C96" w:rsidRPr="00370C25">
            <w:rPr>
              <w:sz w:val="18"/>
              <w:szCs w:val="18"/>
            </w:rPr>
            <w:t xml:space="preserve">, CD4/CD8 ratio </w:t>
          </w:r>
          <w:r w:rsidR="002E1C96" w:rsidRPr="00370C25">
            <w:rPr>
              <w:b/>
              <w:bCs/>
              <w:sz w:val="18"/>
              <w:szCs w:val="18"/>
            </w:rPr>
            <w:t>(c, d)</w:t>
          </w:r>
          <w:r w:rsidR="002E1C96" w:rsidRPr="00370C25">
            <w:rPr>
              <w:sz w:val="18"/>
              <w:szCs w:val="18"/>
            </w:rPr>
            <w:t xml:space="preserve"> and zenith HIV-RNA </w:t>
          </w:r>
          <w:r w:rsidR="002E1C96" w:rsidRPr="00370C25">
            <w:rPr>
              <w:b/>
              <w:bCs/>
              <w:sz w:val="18"/>
              <w:szCs w:val="18"/>
            </w:rPr>
            <w:t>(e, f)</w:t>
          </w:r>
          <w:r w:rsidR="002E1C96" w:rsidRPr="00370C25">
            <w:rPr>
              <w:sz w:val="18"/>
              <w:szCs w:val="18"/>
            </w:rPr>
            <w:t>.</w:t>
          </w:r>
        </w:sdtContent>
      </w:sdt>
      <w:r w:rsidR="002E1C96" w:rsidRPr="00370C25">
        <w:rPr>
          <w:rFonts w:ascii="Palatino Linotype" w:hAnsi="Palatino Linotype"/>
        </w:rPr>
        <w:t xml:space="preserve"> </w:t>
      </w:r>
      <w:r w:rsidRPr="00370C25">
        <w:rPr>
          <w:color w:val="A6A6A6"/>
          <w:lang w:eastAsia="en-US"/>
        </w:rPr>
        <w:t xml:space="preserve"> </w:t>
      </w:r>
    </w:p>
    <w:p w14:paraId="4D144DAD" w14:textId="77777777" w:rsidR="00C33410" w:rsidRPr="00370C25" w:rsidRDefault="00C33410" w:rsidP="00C33410">
      <w:pPr>
        <w:shd w:val="clear" w:color="auto" w:fill="FFFFFF"/>
        <w:suppressAutoHyphens w:val="0"/>
        <w:rPr>
          <w:b/>
          <w:bCs/>
          <w:color w:val="333333"/>
          <w:sz w:val="20"/>
          <w:szCs w:val="20"/>
          <w:lang w:eastAsia="en-US"/>
        </w:rPr>
      </w:pPr>
    </w:p>
    <w:p w14:paraId="1EF4BC18" w14:textId="77777777" w:rsidR="00C33410" w:rsidRPr="00370C25" w:rsidRDefault="00C33410" w:rsidP="00C33410">
      <w:pPr>
        <w:pStyle w:val="06-Heading-1"/>
        <w:spacing w:before="0"/>
        <w:rPr>
          <w:bCs/>
        </w:rPr>
      </w:pPr>
      <w:r w:rsidRPr="00370C25">
        <w:rPr>
          <w:bCs/>
          <w:color w:val="333333"/>
          <w:lang w:eastAsia="en-US"/>
        </w:rPr>
        <w:t xml:space="preserve">5. </w:t>
      </w:r>
      <w:r w:rsidRPr="00370C25">
        <w:rPr>
          <w:bCs/>
        </w:rPr>
        <w:t>DISCUSSION</w:t>
      </w:r>
    </w:p>
    <w:sdt>
      <w:sdtPr>
        <w:rPr>
          <w:noProof/>
          <w:lang w:eastAsia="en-US"/>
        </w:rPr>
        <w:id w:val="-1443065286"/>
        <w:picture/>
      </w:sdtPr>
      <w:sdtContent>
        <w:p w14:paraId="3D7BA692" w14:textId="77777777" w:rsidR="009A13E9" w:rsidRPr="00370C25" w:rsidRDefault="009A13E9" w:rsidP="009A13E9">
          <w:pPr>
            <w:shd w:val="clear" w:color="auto" w:fill="FFFFFF"/>
            <w:suppressAutoHyphens w:val="0"/>
            <w:spacing w:after="150"/>
            <w:jc w:val="center"/>
            <w:rPr>
              <w:color w:val="333333"/>
              <w:sz w:val="21"/>
              <w:szCs w:val="21"/>
              <w:lang w:eastAsia="en-US"/>
            </w:rPr>
          </w:pPr>
          <w:r w:rsidRPr="00370C25">
            <w:rPr>
              <w:noProof/>
              <w:lang w:eastAsia="en-US"/>
            </w:rPr>
            <w:drawing>
              <wp:inline distT="0" distB="0" distL="0" distR="0" wp14:anchorId="0913E584" wp14:editId="6E499C11">
                <wp:extent cx="3073106" cy="1310444"/>
                <wp:effectExtent l="0" t="0" r="0" b="4445"/>
                <wp:docPr id="1649978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78824" name="Picture 1"/>
                        <pic:cNvPicPr>
                          <a:picLocks noChangeAspect="1" noChangeArrowheads="1"/>
                        </pic:cNvPicPr>
                      </pic:nvPicPr>
                      <pic:blipFill>
                        <a:blip r:embed="rId15"/>
                        <a:stretch>
                          <a:fillRect/>
                        </a:stretch>
                      </pic:blipFill>
                      <pic:spPr bwMode="auto">
                        <a:xfrm>
                          <a:off x="0" y="0"/>
                          <a:ext cx="3073106" cy="1310444"/>
                        </a:xfrm>
                        <a:prstGeom prst="rect">
                          <a:avLst/>
                        </a:prstGeom>
                        <a:noFill/>
                        <a:ln>
                          <a:noFill/>
                        </a:ln>
                      </pic:spPr>
                    </pic:pic>
                  </a:graphicData>
                </a:graphic>
              </wp:inline>
            </w:drawing>
          </w:r>
        </w:p>
      </w:sdtContent>
    </w:sdt>
    <w:p w14:paraId="040E0E1A" w14:textId="25BC0A88" w:rsidR="009A13E9" w:rsidRPr="00370C25" w:rsidRDefault="009A13E9" w:rsidP="007405E6">
      <w:pPr>
        <w:shd w:val="clear" w:color="auto" w:fill="FFFFFF"/>
        <w:suppressAutoHyphens w:val="0"/>
        <w:spacing w:before="100" w:beforeAutospacing="1" w:after="100" w:afterAutospacing="1"/>
        <w:jc w:val="both"/>
        <w:rPr>
          <w:color w:val="A6A6A6"/>
          <w:sz w:val="18"/>
          <w:szCs w:val="18"/>
          <w:lang w:eastAsia="en-US"/>
        </w:rPr>
      </w:pPr>
      <w:r w:rsidRPr="00370C25">
        <w:rPr>
          <w:b/>
          <w:sz w:val="18"/>
          <w:szCs w:val="18"/>
        </w:rPr>
        <w:t xml:space="preserve">Fig. (3). </w:t>
      </w:r>
      <w:sdt>
        <w:sdtPr>
          <w:rPr>
            <w:b/>
            <w:sz w:val="21"/>
            <w:szCs w:val="21"/>
          </w:rPr>
          <w:id w:val="395939872"/>
          <w:placeholder>
            <w:docPart w:val="1A91FACEE0DF487E8401C9C23D7394C4"/>
          </w:placeholder>
        </w:sdtPr>
        <w:sdtEndPr>
          <w:rPr>
            <w:b w:val="0"/>
            <w:color w:val="A6A6A6"/>
            <w:lang w:eastAsia="en-US"/>
          </w:rPr>
        </w:sdtEndPr>
        <w:sdtContent>
          <w:r w:rsidR="007405E6" w:rsidRPr="00370C25">
            <w:rPr>
              <w:bCs/>
              <w:sz w:val="18"/>
              <w:szCs w:val="18"/>
            </w:rPr>
            <w:t>Dynamics of serum NGF and BDNF levels, blood CD4</w:t>
          </w:r>
          <w:r w:rsidR="007405E6" w:rsidRPr="00370C25">
            <w:rPr>
              <w:bCs/>
              <w:sz w:val="18"/>
              <w:szCs w:val="18"/>
              <w:vertAlign w:val="superscript"/>
            </w:rPr>
            <w:t>+</w:t>
          </w:r>
          <w:r w:rsidR="007405E6" w:rsidRPr="00370C25">
            <w:rPr>
              <w:bCs/>
              <w:sz w:val="18"/>
              <w:szCs w:val="18"/>
            </w:rPr>
            <w:t xml:space="preserve"> T cell count and CD4/CD8 ratio in HIV infection and following ART.</w:t>
          </w:r>
          <w:r w:rsidR="00DA6071" w:rsidRPr="00370C25">
            <w:rPr>
              <w:bCs/>
              <w:sz w:val="18"/>
              <w:szCs w:val="18"/>
            </w:rPr>
            <w:t xml:space="preserve"> Created with BioRender.com.</w:t>
          </w:r>
        </w:sdtContent>
      </w:sdt>
      <w:r w:rsidR="007405E6" w:rsidRPr="00370C25">
        <w:rPr>
          <w:color w:val="A6A6A6"/>
          <w:sz w:val="21"/>
          <w:szCs w:val="21"/>
          <w:lang w:eastAsia="en-US"/>
        </w:rPr>
        <w:t xml:space="preserve">  </w:t>
      </w:r>
    </w:p>
    <w:p w14:paraId="6F1C3BAC" w14:textId="5F3DCAE2" w:rsidR="00C33410" w:rsidRPr="00370C25" w:rsidRDefault="00C33410" w:rsidP="00CD181F">
      <w:pPr>
        <w:pStyle w:val="05-ArticleText"/>
        <w:spacing w:after="240"/>
        <w:rPr>
          <w:color w:val="A6A6A6"/>
          <w:sz w:val="21"/>
          <w:szCs w:val="21"/>
          <w:lang w:eastAsia="en-US"/>
        </w:rPr>
      </w:pPr>
      <w:r w:rsidRPr="00370C25">
        <w:rPr>
          <w:color w:val="A6A6A6"/>
          <w:sz w:val="21"/>
          <w:szCs w:val="21"/>
          <w:lang w:eastAsia="en-US"/>
        </w:rPr>
        <w:tab/>
      </w:r>
      <w:sdt>
        <w:sdtPr>
          <w:rPr>
            <w:color w:val="A6A6A6"/>
            <w:sz w:val="21"/>
            <w:szCs w:val="21"/>
            <w:lang w:eastAsia="en-US"/>
          </w:rPr>
          <w:id w:val="1604614495"/>
          <w:placeholder>
            <w:docPart w:val="2FD84F6C63AC4730BBDF8285F73B340B"/>
          </w:placeholder>
        </w:sdtPr>
        <w:sdtContent>
          <w:r w:rsidR="00BD1B2E" w:rsidRPr="00370C25">
            <w:rPr>
              <w:sz w:val="21"/>
              <w:szCs w:val="21"/>
              <w:lang w:eastAsia="en-US"/>
            </w:rPr>
            <w:t>Although</w:t>
          </w:r>
          <w:r w:rsidR="00BD1B2E" w:rsidRPr="00370C25">
            <w:rPr>
              <w:color w:val="A6A6A6"/>
              <w:sz w:val="21"/>
              <w:szCs w:val="21"/>
              <w:lang w:eastAsia="en-US"/>
            </w:rPr>
            <w:t xml:space="preserve"> </w:t>
          </w:r>
          <w:r w:rsidR="002E1C96" w:rsidRPr="00370C25">
            <w:rPr>
              <w:sz w:val="21"/>
              <w:szCs w:val="21"/>
            </w:rPr>
            <w:t>HIV infection is now a manageable chronic condition</w:t>
          </w:r>
          <w:r w:rsidR="00BD1B2E" w:rsidRPr="00370C25">
            <w:rPr>
              <w:sz w:val="21"/>
              <w:szCs w:val="21"/>
            </w:rPr>
            <w:t xml:space="preserve"> thanks</w:t>
          </w:r>
          <w:r w:rsidR="002E1C96" w:rsidRPr="00370C25">
            <w:rPr>
              <w:sz w:val="21"/>
              <w:szCs w:val="21"/>
            </w:rPr>
            <w:t xml:space="preserve"> to effective ART, </w:t>
          </w:r>
          <w:r w:rsidR="00BD1B2E" w:rsidRPr="00370C25">
            <w:rPr>
              <w:sz w:val="21"/>
              <w:szCs w:val="21"/>
            </w:rPr>
            <w:t xml:space="preserve">there is </w:t>
          </w:r>
          <w:r w:rsidR="002E1C96" w:rsidRPr="00370C25">
            <w:rPr>
              <w:sz w:val="21"/>
              <w:szCs w:val="21"/>
            </w:rPr>
            <w:t>growing concern about SNAEs, as the</w:t>
          </w:r>
          <w:r w:rsidR="00BD1B2E" w:rsidRPr="00370C25">
            <w:rPr>
              <w:sz w:val="21"/>
              <w:szCs w:val="21"/>
            </w:rPr>
            <w:t xml:space="preserve">se </w:t>
          </w:r>
          <w:r w:rsidR="002E1C96" w:rsidRPr="00370C25">
            <w:rPr>
              <w:sz w:val="21"/>
              <w:szCs w:val="21"/>
            </w:rPr>
            <w:t>are</w:t>
          </w:r>
          <w:r w:rsidR="00BD1B2E" w:rsidRPr="00370C25">
            <w:rPr>
              <w:sz w:val="21"/>
              <w:szCs w:val="21"/>
            </w:rPr>
            <w:t xml:space="preserve"> now</w:t>
          </w:r>
          <w:r w:rsidR="002E1C96" w:rsidRPr="00370C25">
            <w:rPr>
              <w:sz w:val="21"/>
              <w:szCs w:val="21"/>
            </w:rPr>
            <w:t xml:space="preserve"> the ma</w:t>
          </w:r>
          <w:r w:rsidR="00BD1B2E" w:rsidRPr="00370C25">
            <w:rPr>
              <w:sz w:val="21"/>
              <w:szCs w:val="21"/>
            </w:rPr>
            <w:t>in</w:t>
          </w:r>
          <w:r w:rsidR="002E1C96" w:rsidRPr="00370C25">
            <w:rPr>
              <w:sz w:val="21"/>
              <w:szCs w:val="21"/>
            </w:rPr>
            <w:t xml:space="preserve"> threat to the health of PLWH. Among the several different types of SNAEs, HAND remain</w:t>
          </w:r>
          <w:r w:rsidR="00BD1B2E" w:rsidRPr="00370C25">
            <w:rPr>
              <w:sz w:val="21"/>
              <w:szCs w:val="21"/>
            </w:rPr>
            <w:t>s</w:t>
          </w:r>
          <w:r w:rsidR="002E1C96" w:rsidRPr="00370C25">
            <w:rPr>
              <w:sz w:val="21"/>
              <w:szCs w:val="21"/>
            </w:rPr>
            <w:t xml:space="preserve"> fairly common, with the global prevalence estimated at over 40%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{"citationItems":[{"id":"ITEM-1","itemData":{"DOI":"10.1212/WNL.0000000000010752","ISSN":"1526-632X (Electronic)","PMID":"32887786","abstract":"OBJECTIVE: To characterize the prevalence and burden of HIV-associated  neurocognitive disorder (HAND) and assess associated factors in the global population with HIV. METHODS: We searched PubMed and Embase for cross-sectional or cohort studies reporting the prevalence of HAND or its subtypes in HIV-infected adult populations from January 1, 1996, to May 15, 2020, without language restrictions. Two reviewers independently undertook the study selection, data extraction, and quality assessment. We estimated pooled prevalence of HAND by a random effects model and evaluated its overall burden worldwide. RESULTS: Of 5,588 records identified, we included 123 studies involving 35,513 participants from 32 countries. The overall prevalence of HAND was 42.6% (95% confidence interval [CI] 39.7-45.5) and did not differ with respect to diagnostic criteria used. The prevalence of asymptomatic neurocognitive impairment, mild neurocognitive disorder, and HIV-associated dementia were 23.5% (20.3-26.8), 13.3% (10.6-16.3), and 5.0% (3.5-6.8) according to the Frascati criteria, respectively. The prevalence of HAND was significantly associated with the level of CD4 nadir, with a prevalence of HAND higher in low CD4 nadir groups (mean/median CD4 nadir &lt;200 45.2% [40.5-49.9]) vs the high CD4 nadir group (mean/median CD4 nadir ≥200 37.1% [32.7-41.7]). Worldwide, we estimated that there were roughly 16,145,400 (95% CI 15,046,300-17,244,500) cases of HAND in HIV-infected adults, with 72% in sub-Saharan Africa (11,571,200 cases, 95% CI 9,600,000-13,568,000). CONCLUSIONS: Our findings suggest that people living with HIV have a high burden of HAND in the antiretroviral therapy (ART) era, especially in sub-Saharan Africa and Latin America. Earlier initiation of ART and sustained adherence to maintain a high-level CD4 cell count and prevent severe immunosuppression is likely to reduce the prevalence and severity of HAND.","author":[{"dropping-particle":"","family":"Wang","given":"Yunhe","non-dropping-particle":"","parse-names":false,"suffix":""},{"dropping-particle":"","family":"Liu","given":"Moxuan","non-dropping-particle":"","parse-names":false,"suffix":""},{"dropping-particle":"","family":"Lu","given":"Qingdong","non-dropping-particle":"","parse-names":false,"suffix":""},{"dropping-particle":"","family":"Farrell","given":"Michael","non-dropping-particle":"","parse-names":false,"suffix":""},{"dropping-particle":"","family":"Lappin","given":"Julia M","non-dropping-particle":"","parse-names":false,"suffix":""},{"dropping-particle":"","family":"Shi","given":"Jie","non-dropping-particle":"","parse-names":false,"suffix":""},{"dropping-particle":"","family":"Lu","given":"Lin","non-dropping-particle":"","parse-names":false,"suffix":""},{"dropping-particle":"","family":"Bao","given":"Yanping","non-dropping-particle":"","parse-names":false,"suffix":""}],"container-title":"Neurology","id":"ITEM-1","issue":"19","issued":{"date-parts":[["2020","11"]]},"language":"eng","page":"e2610-e2621","publisher-place":"United States","title":"Global prevalence and burden of HIV-associated neurocognitive disorder: A  meta-analysis.","type":"article-journal","volume":"95"},"uris":["http://www.mendeley.com/documents/?uuid=7992319b-497f-4ca3-8593-f0afd4c3f42c"]}],"mendeley":{"formattedCitation":"[31]","plainTextFormattedCitation":"[31]","previouslyFormattedCitation":"[30]"},"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[31]</w:t>
          </w:r>
          <w:r w:rsidR="004268A2" w:rsidRPr="00370C25">
            <w:rPr>
              <w:rStyle w:val="Rimandonotaapidipagina"/>
              <w:sz w:val="21"/>
              <w:szCs w:val="21"/>
            </w:rPr>
            <w:fldChar w:fldCharType="end"/>
          </w:r>
          <w:r w:rsidR="002E1C96" w:rsidRPr="00370C25">
            <w:rPr>
              <w:sz w:val="21"/>
              <w:szCs w:val="21"/>
            </w:rPr>
            <w:t xml:space="preserve">. </w:t>
          </w:r>
          <w:r w:rsidR="00BD1B2E" w:rsidRPr="00370C25">
            <w:rPr>
              <w:sz w:val="21"/>
              <w:szCs w:val="21"/>
            </w:rPr>
            <w:t>Currently</w:t>
          </w:r>
          <w:r w:rsidR="002E1C96" w:rsidRPr="00370C25">
            <w:rPr>
              <w:sz w:val="21"/>
              <w:szCs w:val="21"/>
            </w:rPr>
            <w:t xml:space="preserve">, </w:t>
          </w:r>
          <w:r w:rsidR="00BD1B2E" w:rsidRPr="00370C25">
            <w:rPr>
              <w:sz w:val="21"/>
              <w:szCs w:val="21"/>
            </w:rPr>
            <w:t xml:space="preserve">there are </w:t>
          </w:r>
          <w:r w:rsidR="002E1C96" w:rsidRPr="00370C25">
            <w:rPr>
              <w:sz w:val="21"/>
              <w:szCs w:val="21"/>
            </w:rPr>
            <w:t xml:space="preserve">no markers </w:t>
          </w:r>
          <w:r w:rsidR="00BD1B2E" w:rsidRPr="00370C25">
            <w:rPr>
              <w:sz w:val="21"/>
              <w:szCs w:val="21"/>
            </w:rPr>
            <w:t xml:space="preserve">that </w:t>
          </w:r>
          <w:r w:rsidR="002E1C96" w:rsidRPr="00370C25">
            <w:rPr>
              <w:sz w:val="21"/>
              <w:szCs w:val="21"/>
            </w:rPr>
            <w:t>can predict the development of these conditions</w:t>
          </w:r>
          <w:r w:rsidR="00BD1B2E" w:rsidRPr="00370C25">
            <w:rPr>
              <w:sz w:val="21"/>
              <w:szCs w:val="21"/>
            </w:rPr>
            <w:t>. However,</w:t>
          </w:r>
          <w:r w:rsidR="002E1C96" w:rsidRPr="00370C25">
            <w:rPr>
              <w:sz w:val="21"/>
              <w:szCs w:val="21"/>
            </w:rPr>
            <w:t xml:space="preserve"> alterations in neurotrophic factors have been </w:t>
          </w:r>
          <w:r w:rsidR="00BD1B2E" w:rsidRPr="00370C25">
            <w:rPr>
              <w:sz w:val="21"/>
              <w:szCs w:val="21"/>
            </w:rPr>
            <w:t>identified</w:t>
          </w:r>
          <w:r w:rsidR="002E1C96" w:rsidRPr="00370C25">
            <w:rPr>
              <w:sz w:val="21"/>
              <w:szCs w:val="21"/>
            </w:rPr>
            <w:t xml:space="preserve"> in </w:t>
          </w:r>
          <w:r w:rsidR="00BD1B2E" w:rsidRPr="00370C25">
            <w:rPr>
              <w:sz w:val="21"/>
              <w:szCs w:val="21"/>
            </w:rPr>
            <w:t>certain n</w:t>
          </w:r>
          <w:r w:rsidR="002E1C96" w:rsidRPr="00370C25">
            <w:rPr>
              <w:sz w:val="21"/>
              <w:szCs w:val="21"/>
            </w:rPr>
            <w:t xml:space="preserve">eurocognitive disorders. Since NGF and BDNF are secreted proteins that support neuronal survival, synaptic plasticity and neurogenesis, a reduction </w:t>
          </w:r>
          <w:r w:rsidR="00C0460F" w:rsidRPr="00370C25">
            <w:rPr>
              <w:sz w:val="21"/>
              <w:szCs w:val="21"/>
            </w:rPr>
            <w:t>in</w:t>
          </w:r>
          <w:r w:rsidR="002E1C96" w:rsidRPr="00370C25">
            <w:rPr>
              <w:sz w:val="21"/>
              <w:szCs w:val="21"/>
            </w:rPr>
            <w:t xml:space="preserve"> their levels has been associated with several disorders such as Alzheimer's disease, age-related cognitive </w:t>
          </w:r>
          <w:r w:rsidR="009F6B4B" w:rsidRPr="00370C25">
            <w:rPr>
              <w:sz w:val="21"/>
              <w:szCs w:val="21"/>
            </w:rPr>
            <w:t>decline</w:t>
          </w:r>
          <w:r w:rsidR="002E1C96" w:rsidRPr="00370C25">
            <w:rPr>
              <w:sz w:val="21"/>
              <w:szCs w:val="21"/>
            </w:rPr>
            <w:t xml:space="preserve"> or bipolar disorder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{"citationItems":[{"id":"ITEM-1","itemData":{"DOI":"10.3390/ijms23147726","ISSN":"1422-0067 (Electronic)","PMID":"35887075","abstract":"Neurotrophins are a family of secreted proteins expressed in the peripheral  nervous system and the central nervous system that support neuronal survival, synaptic plasticity, and neurogenesis. Brain-derived neurotrophic factor (BDNF) and its high affinity receptor TrkB are highly expressed in the cortical and hippocampal areas and play an essential role in learning and memory. The decline of cognitive function with aging is a major risk factor for cognitive diseases such as Alzheimer's disease. Therefore, an alteration of BDNF/TrkB signaling with aging and/or pathological conditions has been indicated as a potential mechanism of cognitive decline. In this review, we summarize the cellular function of neurotrophin signaling and review the current evidence indicating a pathological role of neurotrophin signaling, especially of BDNF/TrkB signaling, in the cognitive decline in aging and age-related cognitive diseases. We also review the therapeutic approach for cognitive decline by the upregulation of the endogenous BDNF/TrkB-system.","author":[{"dropping-particle":"","family":"Numakawa","given":"Tadahiro","non-dropping-particle":"","parse-names":false,"suffix":""},{"dropping-particle":"","family":"Odaka","given":"Haruki","non-dropping-particle":"","parse-names":false,"suffix":""}],"container-title":"International journal of molecular sciences","id":"ITEM-1","issue":"14","issued":{"date-parts":[["2022","7"]]},"language":"eng","publisher-place":"Switzerland","title":"The Role of Neurotrophin Signaling in Age-Related Cognitive Decline and Cognitive  Diseases.","type":"article-journal","volume":"23"},"uris":["http://www.mendeley.com/documents/?uuid=dda9b47f-8d99-4f4e-9e40-1133d886bde9"]},{"id":"ITEM-2","itemData":{"DOI":"10.1186/s12888-025-06469-0","ISSN":"1471-244X (Electronic)","PMID":"39833760","abstract":"BACKGROUND: Klotho and neurotrophic factors, including brain-derived neurotrophic  factor (BDNF), nerve growth factor (NGF), and glial cell line-derived neurotrophic factor (GDNF), have been shown to play a role in cognitive functions. However, these molecules have not been investigated in bipolar disorder simultaneously to assess the interactions among them and their relationships with cognitive functions. This study investigated the relationships among cognitive function, klotho, and neurotrophic factors in patients with bipolar disorder in the remission period. METHODS: Male, bipolar disorder (BD) patients (patient group, n = 48) in the remission period and healthy volunteers (control group, n = 48) were included in the study. The Stroop test and Wechsler Memory Scale-Visual Production Subtest were applied, and the serum levels of Klotho, BDNF, GDNF, and NGF were measured with an ELISA reader. RESULTS: The klotho protein levels (0.12 ± 0.15 and 0.17 ± 0.16) and NGF levels (34.36 ± 41.99 and 48.54 ± 41.06) in the patient group were significantly lower than those in the control group (Z = -3.071, p = 0.002 and Z = -2.217, p = 0.027, respectively). In the patient group, there was a positive correlation between the klotho and NGF levels (p = 0.003, r(s) = 0.413), and a negative correlation was detected between the NGF and GDNF levels (p = 0.013, r(s) = -0.355). Klotho and NGF were predictors of Weshler 40-min test results (adjusted R2 = 0.467), and Klotho and BDNF were predictors of Stroop test colour word reading time (adjusted R2 = 0.391) with other variables. CONCLUSION: In BD patients, klotho, BDNF, GDNF and NGF are associated with cognitive functions and exhibit different characteristics from those of the control group. Nevertheless, the differences related to these molecules seem to be associated with a regulatory system rather than merely an increase or decrease in serum levels.","author":[{"dropping-particle":"","family":"Çelebi","given":"Zeynep","non-dropping-particle":"","parse-names":false,"suffix":""},{"dropping-particle":"","family":"Yazıcı","given":"Esra","non-dropping-particle":"","parse-names":false,"suffix":""},{"dropping-particle":"","family":"Güzel Erdoğan","given":"Derya","non-dropping-particle":"","parse-names":false,"suffix":""},{"dropping-particle":"","family":"Davutoglu","given":"Onur","non-dropping-particle":"","parse-names":false,"suffix":""},{"dropping-particle":"","family":"Yazıcı","given":"Ahmet Bulent","non-dropping-particle":"","parse-names":false,"suffix":""}],"container-title":"BMC psychiatry","id":"ITEM-2","issue":"1","issued":{"date-parts":[["2025","1"]]},"language":"eng","page":"53","publisher-place":"England","title":"Relationship between klotho, neurotrophic factors (BDNF, NGF, GDNF) and cognitive  functions in patients with bipolar disorder.","type":"article-journal","volume":"25"},"uris":["http://www.mendeley.com/documents/?uuid=0f70ea7d-2fce-4ae4-9351-c3e6fbec2a9b"]},{"id":"ITEM-3","itemData":{"DOI":"10.3233/JAD-150172","ISSN":"1875-8908 (Electronic)","PMID":"25737042","abstract":"BACKGROUND: There is evidence of decreased neurotrophic support in Alzheimer's  disease (AD), including its prodromal stages, but it is not clear whether this abnormality represents a marker of this process. OBJECTIVE: To determine serum concentrations of a panel of neurotrophic factors (BDNF, NGF, and GDNF) in a cross-section of elderly patients with mild cognitive impairment (MCI) and AD compared to cognitively healthy controls, and to evaluate whether abnormal levels of these factors at baseline predict the transition from MCI to dementia. METHODS: A total of 134 older adults were enrolled in this study. Twenty-six patients with mild to moderate AD, 62 with MCI, and 46 cognitively healthy older adults (controls) were subjected to a clinical evaluation including several cognitive tests. Peripheral blood was drawn and serum levels of BDNF, NGF, and GDNF were measured by enzyme-linked immunosorbent assay. APOE genotyping was performed by PCR assays. RESULTS: Serum concentrations of BDNF, NGF, and GDNF were significantly reduced in cognitively impaired subjects (i.e., MCI and AD) as compared to controls, although only the former two remained statistically different after controlling for age, gender, and cognitive performance (p = 0.05 and p = 0.01, respectively). Lower BDNF and NGF levels were also observed in the sub-sample of MCI patients who progressed to dementia upon follow-up (p = 0.02 and p = 0.002, respectively). CONCLUSION: Abnormalities in neurotrophic systems are observed at early stages of AD and may represent a marker of cognitive deterioration.","author":[{"dropping-particle":"","family":"Forlenza","given":"Orestes Vicente","non-dropping-particle":"","parse-names":false,"suffix":""},{"dropping-particle":"","family":"Miranda","given":"Aline Silva","non-dropping-particle":"","parse-names":false,"suffix":""},{"dropping-particle":"","family":"Guimar","given":"Izabela","non-dropping-particle":"","parse-names":false,"suffix":""},{"dropping-particle":"","family":"Talib","given":"Leda Leme","non-dropping-particle":"","parse-names":false,"suffix":""},{"dropping-particle":"","family":"Diniz","given":"Breno Satler","non-dropping-particle":"","parse-names":false,"suffix":""},{"dropping-particle":"","family":"Gattaz","given":"Wagner Farid","non-dropping-particle":"","parse-names":false,"suffix":""},{"dropping-particle":"","family":"Teixeira","given":"Antonio Lucio","non-dropping-particle":"","parse-names":false,"suffix":""}],"container-title":"Journal of Alzheimer's disease : JAD","id":"ITEM-3","issue":"2","issued":{"date-parts":[["2015"]]},"language":"eng","page":"423-429","publisher-place":"United States","title":"Decreased Neurotrophic Support is Associated with Cognitive Decline in  Non-Demented Subjects.","type":"article-journal","volume":"46"},"uris":["http://www.mendeley.com/documents/?uuid=e6d6fb35-1820-4d64-a95d-581db12097c8"]},{"id":"ITEM-4","itemData":{"DOI":"10.1038/nrn3379","ISSN":"1471-0048","abstract":"Neurotrophins, brain-derived neurotrophic factor (BDNF) in particular, regulate neural circuit development and function. How neural activity controls the expression, processing, secretion and cellular actions of neurotrophins remains to be fully understood.Epigenetic regulation of BDNF transcription, selective localization of different BDNF transcripts and the existence and function of local dendritic BDNF synthesis are areas that require further clarification.In developing circuits, BDNF–tropomyosin-related kinase B (TRKB) signalling regulates neuronal differentiation and growth as well as synapse formation, maturation and refinement, although its previously presumed role in CNS neuronal survival is now seriously challenged by new evidence.In mature neural circuits, BDNF–TRKB signalling modulates synaptic efficacy and synaptic plasticity, such as long-term potentiation (LTP) and long-term depression, via pre- and postsynaptic mechanisms. It may also mediate the formation of stable late-LTP and structural modification of synapses through protein synthesis-dependent mechanisms. The source of synaptically secreted BDNF in vivo remains to be clarified (for example, whether it is a pre- or postsynaptic cell). Whether pro-BDNF is secreted and processed extracellularly at the synapse under physiological conditions remains controversial.Activity-dependent transcytosis and trans-synaptic transfer of neurotrophins are highly relevant to neurotrophin regulation of neural circuits, as these processes provide selective long-range propagation of neurotrophin actions within the neural circuit.","author":[{"dropping-particle":"","family":"Park","given":"Hyungju","non-dropping-particle":"","parse-names":false,"suffix":""},{"dropping-particle":"","family":"Poo","given":"Mu-ming","non-dropping-particle":"","parse-names":false,"suffix":""}],"container-title":"Nature Reviews Neuroscience","id":"ITEM-4","issue":"1","issued":{"date-parts":[["2013"]]},"page":"7-23","title":"Neurotrophin regulation of neural circuit development and function","type":"article-journal","volume":"14"},"uris":["http://www.mendeley.com/documents/?uuid=b3b4d98a-7dd2-4fbd-b77c-ac68e948bc4e"]}],"mendeley":{"formattedCitation":"[32–35]","plainTextFormattedCitation":"[32–35]","previouslyFormattedCitation":"[31–34]"},"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[32–35]</w:t>
          </w:r>
          <w:r w:rsidR="004268A2" w:rsidRPr="00370C25">
            <w:rPr>
              <w:rStyle w:val="Rimandonotaapidipagina"/>
              <w:sz w:val="21"/>
              <w:szCs w:val="21"/>
            </w:rPr>
            <w:fldChar w:fldCharType="end"/>
          </w:r>
          <w:r w:rsidR="002E1C96" w:rsidRPr="00370C25">
            <w:rPr>
              <w:sz w:val="21"/>
              <w:szCs w:val="21"/>
            </w:rPr>
            <w:t>.</w:t>
          </w:r>
          <w:r w:rsidR="00C0460F" w:rsidRPr="00370C25">
            <w:rPr>
              <w:sz w:val="21"/>
              <w:szCs w:val="21"/>
            </w:rPr>
            <w:t xml:space="preserve"> To gain a better </w:t>
          </w:r>
          <w:r w:rsidR="002E1C96" w:rsidRPr="00370C25">
            <w:rPr>
              <w:sz w:val="21"/>
              <w:szCs w:val="21"/>
            </w:rPr>
            <w:t>understand</w:t>
          </w:r>
          <w:r w:rsidR="00C0460F" w:rsidRPr="00370C25">
            <w:rPr>
              <w:sz w:val="21"/>
              <w:szCs w:val="21"/>
            </w:rPr>
            <w:t xml:space="preserve">ing of </w:t>
          </w:r>
          <w:r w:rsidR="002E1C96" w:rsidRPr="00370C25">
            <w:rPr>
              <w:sz w:val="21"/>
              <w:szCs w:val="21"/>
            </w:rPr>
            <w:t xml:space="preserve">the relationship between neurotrophins and HAND, in this cross-sectional study we investigated serum NGF and BDNF levels in both ART-naïve and ART-treated PLWH, comparing them with age- </w:t>
          </w:r>
          <w:r w:rsidR="002E1C96" w:rsidRPr="00370C25">
            <w:rPr>
              <w:sz w:val="21"/>
              <w:szCs w:val="21"/>
            </w:rPr>
            <w:lastRenderedPageBreak/>
            <w:t>and sex-matched HIV-negative individuals and evaluating their changes based on current and historical clinical, virological and immunological parameters.</w:t>
          </w:r>
          <w:r w:rsidR="00F057A9" w:rsidRPr="00370C25">
            <w:rPr>
              <w:sz w:val="21"/>
              <w:szCs w:val="21"/>
            </w:rPr>
            <w:t xml:space="preserve"> Despite cerebrospinal fluid </w:t>
          </w:r>
          <w:proofErr w:type="gramStart"/>
          <w:r w:rsidR="00F057A9" w:rsidRPr="00370C25">
            <w:rPr>
              <w:sz w:val="21"/>
              <w:szCs w:val="21"/>
            </w:rPr>
            <w:t>provides</w:t>
          </w:r>
          <w:proofErr w:type="gramEnd"/>
          <w:r w:rsidR="00F057A9" w:rsidRPr="00370C25">
            <w:rPr>
              <w:sz w:val="21"/>
              <w:szCs w:val="21"/>
            </w:rPr>
            <w:t xml:space="preserve"> a more direct assessment of central nervous system biology, the present study focused on serum neurotrophins as markers of systemic neuroimmune dysregulation rather than as direct substitutes for central measurements. This choice reflects both the systemic nature of HAND and the practical advantages of serum-based biomarkers for screening and longitudinal studies. </w:t>
          </w:r>
          <w:r w:rsidR="002E1C96" w:rsidRPr="00370C25">
            <w:rPr>
              <w:sz w:val="21"/>
              <w:szCs w:val="21"/>
            </w:rPr>
            <w:t>First, we observed significantly higher NGF and lower BDNF levels in the serum of ART-naïve individuals compared with their corresponding control group, while no differences were found between ART-treated PLWH and their corresponding HIV</w:t>
          </w:r>
          <w:r w:rsidR="00C0460F" w:rsidRPr="00370C25">
            <w:rPr>
              <w:sz w:val="21"/>
              <w:szCs w:val="21"/>
            </w:rPr>
            <w:t>-</w:t>
          </w:r>
          <w:r w:rsidR="002E1C96" w:rsidRPr="00370C25">
            <w:rPr>
              <w:sz w:val="21"/>
              <w:szCs w:val="21"/>
            </w:rPr>
            <w:t xml:space="preserve">negative controls. The opposite trend in serum NGF and BDNF levels, as also supported by the negative correlation, suggests that untreated HIV infection could dysregulate </w:t>
          </w:r>
          <w:proofErr w:type="spellStart"/>
          <w:r w:rsidR="002E1C96" w:rsidRPr="00370C25">
            <w:rPr>
              <w:sz w:val="21"/>
              <w:szCs w:val="21"/>
            </w:rPr>
            <w:t>neurotrophin</w:t>
          </w:r>
          <w:proofErr w:type="spellEnd"/>
          <w:r w:rsidR="002E1C96" w:rsidRPr="00370C25">
            <w:rPr>
              <w:sz w:val="21"/>
              <w:szCs w:val="21"/>
            </w:rPr>
            <w:t xml:space="preserve"> homeostasis through mechanisms linked to inflammation or direct viral effects. Considering that NGF is part of a regulatory loop in monocytes, in which binding to its receptor Tropomyosin receptor kinase A (TrkA) downregulates the production of inflammatory cytokines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{"citationItems":[{"id":"ITEM-1","itemData":{"DOI":"10.3390/ijms18051028","ISSN":"1422-0067 (Electronic)","PMID":"28492466","abstract":"There is growing interest in the complex relationship between the nervous and  immune systems and how its alteration can affect homeostasis and result in the development of inflammatory diseases. A key mediator in cross-talk between the two systems is nerve growth factor (NGF), which can influence both neuronal cell function and immune cell activity. The up-regulation of NGF described in inflamed tissues of many diseases can regulate innervation and neuronal activity of peripheral neurons, inducing the release of immune-active neuropeptides and neurotransmitters, but can also directly influence innate and adaptive immune responses. Expression of the NGF receptors tropomyosin receptor kinase A (TrkA) and p75 neurotrophin receptor (p75NTR) is dynamically regulated in immune cells, suggesting a varying requirement for NGF depending on their state of differentiation and functional activity. NGF has a variety of effects that can be either pro-inflammatory or anti-inflammatory. This apparent contradiction can be explained by considering NGF as part of an endogenous mechanism that, while activating immune responses, also activates pathways necessary to dampen the inflammatory response and limit tissue damage. Decreases in TrkA expression, such as that recently demonstrated in immune cells of arthritis patients, might prevent the activation by NGF of regulatory feed-back mechanisms, thus contributing to the development and maintenance of chronic inflammation.","author":[{"dropping-particle":"","family":"Minnone","given":"Gaetana","non-dropping-particle":"","parse-names":false,"suffix":""},{"dropping-particle":"","family":"Benedetti","given":"Fabrizio","non-dropping-particle":"De","parse-names":false,"suffix":""},{"dropping-particle":"","family":"Bracci-Laudiero","given":"Luisa","non-dropping-particle":"","parse-names":false,"suffix":""}],"container-title":"International journal of molecular sciences","id":"ITEM-1","issue":"5","issued":{"date-parts":[["2017","5"]]},"language":"eng","publisher-place":"Switzerland","title":"NGF and Its Receptors in the Regulation of Inflammatory Response.","type":"article-journal","volume":"18"},"uris":["http://www.mendeley.com/documents/?uuid=d2459398-1cf6-4495-8779-45eb814cab9c"]},{"id":"ITEM-2","itemData":{"DOI":"10.4049/jimmunol.1300825","ISSN":"1550-6606 (Electronic)","PMID":"24585880","abstract":"Nerve growth factor (NGF) levels are highly increased in inflamed tissues, but  their role is unclear. We show that NGF is part of a regulatory loop in monocytes: inflammatory stimuli, while activating a proinflammatory response through TLRs, upregulate the expression of the NGF receptor TrkA. In turn, NGF, by binding to TrkA, interferes with TLR responses. In TLR-activated monocytes, NGF reduces inflammatory cytokine production (IL-1β, TNF-α, IL-6, and IL-8) while inducing the release of anti-inflammatory mediators (IL-10 and IL-1 receptor antagonist). NGF binding to TrkA affects TLR signaling, favoring pathways that mediate inhibition of inflammatory responses: it increases Akt phosphorylation, inhibits glycogen synthase kinase 3 activity, reduces IκB phosphorylation and p65 NF-κB translocation, and increases nuclear p50 NF-κB binding activity. Use of TrkA inhibitors in TLR-activated monocytes abolishes the effects of NGF on the activation of anti-inflammatory signaling pathways, thus increasing NF-κB pathway activation and inflammatory cytokine production while reducing IL-10 production. PBMC and mononuclear cells obtained from the synovial fluid of patients with juvenile idiopathic arthritis show marked downregulation of TrkA expression. In ex vivo experiments, the addition of NGF to LPS-activated juvenile idiopathic arthritis to both mononuclear cells from synovial fluid and PBMC fails to reduce the production of IL-6 that, in contrast, is observed in healthy donors. This suggests that defective TrkA expression may facilitate proinflammatory mechanisms, contributing to chronic tissue inflammation and damage. In conclusion, this study identifies a novel regulatory mechanism of inflammatory responses through NGF and its receptor TrkA, for which abnormality may have pathogenic implications for chronic inflammatory diseases.","author":[{"dropping-particle":"","family":"Prencipe","given":"Giusi","non-dropping-particle":"","parse-names":false,"suffix":""},{"dropping-particle":"","family":"Minnone","given":"Gaetana","non-dropping-particle":"","parse-names":false,"suffix":""},{"dropping-particle":"","family":"Strippoli","given":"Raffaele","non-dropping-particle":"","parse-names":false,"suffix":""},{"dropping-particle":"","family":"Pasquale","given":"Loredana","non-dropping-particle":"De","parse-names":false,"suffix":""},{"dropping-particle":"","family":"Petrini","given":"Stefania","non-dropping-particle":"","parse-names":false,"suffix":""},{"dropping-particle":"","family":"Caiello","given":"Ivan","non-dropping-particle":"","parse-names":false,"suffix":""},{"dropping-particle":"","family":"Manni","given":"Luigi","non-dropping-particle":"","parse-names":false,"suffix":""},{"dropping-particle":"","family":"Benedetti","given":"Fabrizio","non-dropping-particle":"De","parse-names":false,"suffix":""},{"dropping-particle":"","family":"Bracci-Laudiero","given":"Luisa","non-dropping-particle":"","parse-names":false,"suffix":""}],"container-title":"Journal of immunology (Baltimore, Md. : 1950)","id":"ITEM-2","issue":"7","issued":{"date-parts":[["2014","4"]]},"language":"eng","page":"3345-3354","publisher-place":"England","title":"Nerve growth factor downregulates inflammatory response in human monocytes  through TrkA.","type":"article-journal","volume":"192"},"uris":["http://www.mendeley.com/documents/?uuid=45a105ee-1cf3-420f-943c-2d6561579dc5"]}],"mendeley":{"formattedCitation":"[36,37]","plainTextFormattedCitation":"[36,37]","previouslyFormattedCitation":"[35,36]"},"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[36,37]</w:t>
          </w:r>
          <w:r w:rsidR="004268A2" w:rsidRPr="00370C25">
            <w:rPr>
              <w:rStyle w:val="Rimandonotaapidipagina"/>
              <w:sz w:val="21"/>
              <w:szCs w:val="21"/>
            </w:rPr>
            <w:fldChar w:fldCharType="end"/>
          </w:r>
          <w:r w:rsidR="002E1C96" w:rsidRPr="00370C25">
            <w:rPr>
              <w:sz w:val="21"/>
              <w:szCs w:val="21"/>
            </w:rPr>
            <w:t xml:space="preserve">, elevated NGF levels may reflect a compensatory response to inflammatory stimuli induced by HIV infection. Consistent with this, the ability of NGF to promote cell survival has been described in a </w:t>
          </w:r>
          <w:r w:rsidR="00C53311" w:rsidRPr="00370C25">
            <w:rPr>
              <w:sz w:val="21"/>
              <w:szCs w:val="21"/>
            </w:rPr>
            <w:t>human herpesvirus 8 (</w:t>
          </w:r>
          <w:r w:rsidR="002E1C96" w:rsidRPr="00370C25">
            <w:rPr>
              <w:sz w:val="21"/>
              <w:szCs w:val="21"/>
            </w:rPr>
            <w:t>HHV-8</w:t>
          </w:r>
          <w:r w:rsidR="00C53311" w:rsidRPr="00370C25">
            <w:rPr>
              <w:sz w:val="21"/>
              <w:szCs w:val="21"/>
            </w:rPr>
            <w:t>)</w:t>
          </w:r>
          <w:r w:rsidR="002E1C96" w:rsidRPr="00370C25">
            <w:rPr>
              <w:sz w:val="21"/>
              <w:szCs w:val="21"/>
            </w:rPr>
            <w:t xml:space="preserve">-infected cell line model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{"citationItems":[{"id":"ITEM-1","itemData":{"DOI":"https://doi.org/10.1182/blood.V95.9.2905.009k33_2905_2912","ISSN":"0006-4971","abstract":"High levels of nerve growth factor (NGF) are found in sera from individuals infected with human herpesvirus 8 (HHV-8). BC-1 and BCBL-1 cells are primary effusion lymphoma–derived B-cell lines; BC-1 cells are infected by HHV-8 and the Epstein-Barr virus (EBV), and BCBL-1 cells are infected only by HHV-8. Both cells express NGF receptors and produce NGF, whereas RAMOS cells (a B-cell line that is negative for HHV-8 and EBV) express NGF receptors but do not produce detectable NGF. Neutralization of endogenous NGF results in cell growth inhibition and apoptosis in BCBL-1 cells and, to a minor extent, in BC-1 cells. When the HHV-8 lytic cycle is induced in BCBL-1 cells by tetradecanoyl phorbol acetate (TPA), an initial reduction of endogenous NGF production is observed, and many cells undergo apoptosis. However, at 48 hours, TPA-treated cells produce significantly more NGF than untreated controls, and a subsequent recovery of cell viability is observed. Consistent with this finding, the addition of exogenous NGF or anti-NGF antibodies to TPA-treated cells reduces or increases, respectively, the rate of apoptosis in response to TPA. Finally, electron microscopy of TPA-treated BCBL-1 cells shows that the addition of exogenous NGF increases the number of cells producing and releasing complete virions as compared with the controls (25% versus 5%). On the contrary, NGF neutralization leads to the production of defective viral progeny in about 2% of cells. These data indicate that NGF is essential for both cell survival and virus maturation in HHV-8–infected cell lines.","author":[{"dropping-particle":"","family":"Pica","given":"Francesca","non-dropping-particle":"","parse-names":false,"suffix":""},{"dropping-particle":"","family":"Volpi","given":"Antonio","non-dropping-particle":"","parse-names":false,"suffix":""},{"dropping-particle":"","family":"Serafino","given":"Annalucia","non-dropping-particle":"","parse-names":false,"suffix":""},{"dropping-particle":"","family":"Fraschetti","given":"Marzia","non-dropping-particle":"","parse-names":false,"suffix":""},{"dropping-particle":"","family":"Franzese","given":"Ornella","non-dropping-particle":"","parse-names":false,"suffix":""},{"dropping-particle":"","family":"Garaci","given":"Enrico","non-dropping-particle":"","parse-names":false,"suffix":""}],"container-title":"Blood","id":"ITEM-1","issue":"9","issued":{"date-parts":[["2000"]]},"page":"2905-2912","title":"Autocrine nerve growth factor is essential for cell survival and viral maturation in HHV-8–infected primary effusion lymphoma cells","type":"article-journal","volume":"95"},"uris":["http://www.mendeley.com/documents/?uuid=7aeed847-543a-4166-8452-dcfd1761b285"]}],"mendeley":{"formattedCitation":"[38]","plainTextFormattedCitation":"[38]","previouslyFormattedCitation":"[37]"},"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[38]</w:t>
          </w:r>
          <w:r w:rsidR="004268A2" w:rsidRPr="00370C25">
            <w:rPr>
              <w:rStyle w:val="Rimandonotaapidipagina"/>
              <w:sz w:val="21"/>
              <w:szCs w:val="21"/>
            </w:rPr>
            <w:fldChar w:fldCharType="end"/>
          </w:r>
          <w:r w:rsidR="002E1C96" w:rsidRPr="00370C25">
            <w:rPr>
              <w:sz w:val="21"/>
              <w:szCs w:val="21"/>
            </w:rPr>
            <w:t xml:space="preserve">, as well as in human monocytes/macrophages infected </w:t>
          </w:r>
          <w:r w:rsidR="002E1C96" w:rsidRPr="00370C25">
            <w:rPr>
              <w:i/>
              <w:iCs/>
              <w:sz w:val="21"/>
              <w:szCs w:val="21"/>
            </w:rPr>
            <w:t>in vitro</w:t>
          </w:r>
          <w:r w:rsidR="002E1C96" w:rsidRPr="00370C25">
            <w:rPr>
              <w:sz w:val="21"/>
              <w:szCs w:val="21"/>
            </w:rPr>
            <w:t xml:space="preserve"> with HIV, in which NGF was suggested as an autocrine survival factor able to rescue these cells from the cytopathic effect caused by HIV infection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{"citationItems":[{"id":"ITEM-1","itemData":{"DOI":"10.1073/pnas.96.24.14013","abstract":"Nerve growth factor (NGF) is a neurotrophin with the ability to exert specific effects on cells of the immune system. Human monocytes/macrophages (M/M) infected in vitro with HIV type 1 (HIV-1) are able to produce substantial levels of NGF that are associated with enhanced expression of the high-affinity NGF receptor (p140 trkA) on the M/M surface. Treatment of HIV-infected human M/M with anti-NGF Ab blocking the biological activity of NGF leads to a marked decrease of the expression of p140 trkA high-affinity receptor, a concomitant increased expression of p75NTR low-affinity receptor for NGF, and the occurrence of apoptotic death of M/M. Taken together, these findings suggest a role for NGF as an autocrine survival factor that rescues human M/M from the cytopathic effect caused by HIV infection.","author":[{"dropping-particle":"","family":"Garaci","given":"Enrico","non-dropping-particle":"","parse-names":false,"suffix":""},{"dropping-particle":"","family":"Caroleo","given":"Maria Cristina","non-dropping-particle":"","parse-names":false,"suffix":""},{"dropping-particle":"","family":"Aloe","given":"Luigi","non-dropping-particle":"","parse-names":false,"suffix":""},{"dropping-particle":"","family":"Aquaro","given":"Stefano","non-dropping-particle":"","parse-names":false,"suffix":""},{"dropping-particle":"","family":"Piacentini","given":"Mauro","non-dropping-particle":"","parse-names":false,"suffix":""},{"dropping-particle":"","family":"Costa","given":"Nicola","non-dropping-particle":"","parse-names":false,"suffix":""},{"dropping-particle":"","family":"Amendola","given":"Alessandra","non-dropping-particle":"","parse-names":false,"suffix":""},{"dropping-particle":"","family":"Micera","given":"Alessandra","non-dropping-particle":"","parse-names":false,"suffix":""},{"dropping-particle":"","family":"Caliò","given":"Raffaele","non-dropping-particle":"","parse-names":false,"suffix":""},{"dropping-particle":"","family":"Perno","given":"Carlo-Federico","non-dropping-particle":"","parse-names":false,"suffix":""},{"dropping-particle":"","family":"Levi-Montalcini","given":"Rita","non-dropping-particle":"","parse-names":false,"suffix":""}],"container-title":"Proceedings of the National Academy of Sciences","id":"ITEM-1","issue":"24","issued":{"date-parts":[["1999","11","23"]]},"note":"doi: 10.1073/pnas.96.24.14013","page":"14013-14018","publisher":"Proceedings of the National Academy of Sciences","title":"Nerve growth factor is an autocrine factor essential for the survival of macrophages infected with HIV","type":"article-journal","volume":"96"},"uris":["http://www.mendeley.com/documents/?uuid=a08fad9b-f9cb-499c-a2ba-1a1661cafdac"]}],"mendeley":{"formattedCitation":"[39]","plainTextFormattedCitation":"[39]","previouslyFormattedCitation":"[38]"},"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[39]</w:t>
          </w:r>
          <w:r w:rsidR="004268A2" w:rsidRPr="00370C25">
            <w:rPr>
              <w:rStyle w:val="Rimandonotaapidipagina"/>
              <w:sz w:val="21"/>
              <w:szCs w:val="21"/>
            </w:rPr>
            <w:fldChar w:fldCharType="end"/>
          </w:r>
          <w:r w:rsidR="002E1C96" w:rsidRPr="00370C25">
            <w:rPr>
              <w:sz w:val="21"/>
              <w:szCs w:val="21"/>
            </w:rPr>
            <w:t xml:space="preserve">. Conversely, serum BDNF is directly linked to neurocognitive function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{"citationItems":[{"id":"ITEM-1","itemData":{"DOI":"10.1177/10998004241296466","ISSN":"1552-4175 (Electronic)","PMID":"39466720","abstract":"Background: People with HIV (PWH) are at risk of developing HIV-associated  neurocognitive disorder (HAND) despite receiving combination antiretroviral therapy. Brain-derived neurotrophic factor (BDNF) has been implicated in cognitive function and neuroplasticity, but its role in HIV-related neuroinflammation remains understudied. Methods: This study analyzed data from the CHAMPS study, assessing BDNF serum levels and cognitive function in 140 adults with HIV at baseline. Cognitive function was evaluated using the PROMIS Applied Cognition-Abilities 8-item questionnaire. BDNF levels (pg/ml) were measured using high sensitivity Enzyme-Linked Immunoassay (ELISA) kits. Linear regression analyses were conducted to explore the associations between BDNF levels, cognitive function, and AIDS diagnosis, adjusting for demographic variables. Results: A significant positive association was found between BDNF levels and cognitive function scores in PWH (p = .03). Additionally, PWH with a history of AIDS diagnosis showed significantly lower BDNF levels (p = .02). Other demographic factors did not significantly impact cognitive function or BDNF levels in this cohort. Conclusions: Our results highlight the potential of BDNF as a biomarker for cognitive decline in PWH and suggest its relevance in understanding HAND pathophysiology. Further research is warranted to explore the multifaceted interactions influencing cognitive outcomes in this population and to develop targeted interventions for improving cognitive health in PWH.","author":[{"dropping-particle":"","family":"Belloir","given":"Joseph A","non-dropping-particle":"","parse-names":false,"suffix":""},{"dropping-particle":"","family":"Myers","given":"Thomas","non-dropping-particle":"","parse-names":false,"suffix":""},{"dropping-particle":"","family":"Batey","given":"Scott","non-dropping-particle":"","parse-names":false,"suffix":""},{"dropping-particle":"","family":"Schnall","given":"Rebecca","non-dropping-particle":"","parse-names":false,"suffix":""}],"container-title":"Biological research for nursing","id":"ITEM-1","issue":"2","issued":{"date-parts":[["2025","4"]]},"language":"eng","page":"255-260","publisher-place":"United States","title":"Brain-Derived Neurotrophic Factor (BDNF) is Associated with Self-Reported  Cognitive Function in Adults with HIV.","type":"article-journal","volume":"27"},"uris":["http://www.mendeley.com/documents/?uuid=74ddab52-d08f-4ca9-ad0f-5625fa9775ac"]},{"id":"ITEM-2","itemData":{"DOI":"10.1016/j.jad.2021.06.018","ISSN":"1573-2517 (Electronic)","PMID":"34175594","abstract":"OBJECTIVE: This study aimed to investigate the role of Brain-derived neurotrophic  factor (BDNF) in clinical and cognitive outcomes in medication-naïve patients with Bipolar type II disorder (BD II) and Major depressive disorder (MDD). METHODS: 45 outpatients with BD II, 40 outpatients with MDD and 40 healthy controls (HCs) were recruited, and sociodemographic and clinical data were collected. Their BDNF serum levels were measured and analyzed with the Repeatable Battery for the Assessment of Neuropsychological Status (RBANS). RESULTS: BDNF levels were significantly lower in BD II patients than in MDD patients and HCs (p = 0.001). BD II and MDD patients had similar cognitive performance deficits shown on Attention (p = 0.001), Delayed memory (p = 0.001), and RBANS total score (p = 0.001). BDNF levels were positively associated with Visuospatial / constructional and Stroop color-word in BD II group, and with language in MDD group. The area under the curve (AUC) of the ROC analysis in BD II vs. MDD was 0.664, therefore, BDNF levels could not distinguish BD II from MDD. CONCLUSION: Our study showed the decreased serum BDNF in MDD and BD II patients, suggesting BDNF may be involved in the pathophysiology of MDD and BD II. BDNF and cognitive deficits are both of low efficiency in distinguishing BD II from MDD. Decrease of BDNF may potentially indicate cognitive dysfunction in BD II and MDD patients with a current depressive episode.","author":[{"dropping-particle":"","family":"Teng","given":"Ziwei","non-dropping-particle":"","parse-names":false,"suffix":""},{"dropping-particle":"","family":"Wang","given":"Lu","non-dropping-particle":"","parse-names":false,"suffix":""},{"dropping-particle":"","family":"Li","given":"Sujuan","non-dropping-particle":"","parse-names":false,"suffix":""},{"dropping-particle":"","family":"Tan","given":"Yuxi","non-dropping-particle":"","parse-names":false,"suffix":""},{"dropping-particle":"","family":"Qiu","given":"Yan","non-dropping-particle":"","parse-names":false,"suffix":""},{"dropping-particle":"","family":"Wu","given":"Chujun","non-dropping-particle":"","parse-names":false,"suffix":""},{"dropping-particle":"","family":"Jin","given":"Kun","non-dropping-particle":"","parse-names":false,"suffix":""},{"dropping-particle":"","family":"Chen","given":"Jindong","non-dropping-particle":"","parse-names":false,"suffix":""},{"dropping-particle":"","family":"Huang","given":"Jing","non-dropping-particle":"","parse-names":false,"suffix":""},{"dropping-particle":"","family":"Tang","given":"Hui","non-dropping-particle":"","parse-names":false,"suffix":""},{"dropping-particle":"","family":"Xiang","given":"Hui","non-dropping-particle":"","parse-names":false,"suffix":""},{"dropping-particle":"","family":"Wang","given":"Bolun","non-dropping-particle":"","parse-names":false,"suffix":""},{"dropping-particle":"","family":"Yuan","given":"Hui","non-dropping-particle":"","parse-names":false,"suffix":""},{"dropping-particle":"","family":"Wu","given":"Haishan","non-dropping-particle":"","parse-names":false,"suffix":""}],"container-title":"Journal of affective disorders","id":"ITEM-2","issued":{"date-parts":[["2021","10"]]},"language":"eng","page":"90-96","publisher-place":"Netherlands","title":"Low BDNF levels in serum are associated with cognitive impairments in  medication-naïve patients with current depressive episode in BD II and MDD.","type":"article-journal","volume":"293"},"uris":["http://www.mendeley.com/documents/?uuid=327de499-e9b9-4a60-8436-19cbba623e21"]},{"id":"ITEM-3","itemData":{"DOI":"10.1177/0891988708316860","ISSN":"1552-5708 (Electronic)","PMID":"18503034","abstract":"Cognitive decline is common in older adults, even in the absence of significant  medical or neurological conditions. Recent work implicates serum levels of brain-derived neurotrophic factor in age-related cognitive decline, though no study has directly examined this possibility. A total of 35 older adults without neurological history underwent fasting blood draw and completed a brief neuropsychological test battery during a single session. After adjusting for demographic and medical confounds, higher serum brain-derived neurotrophic factor levels were associated with better performance on the Mini-Mental State Examination (r = .36) and short form of the Boston Naming Test (r = .39). These findings extend work from Alzheimer disease and vascular dementia samples and indicate that higher brain-derived neurotrophic factor levels are associated with better neuropsychological function in healthy older adults. The exact mechanisms for this relationship are unknown and require further examination.","author":[{"dropping-particle":"","family":"Gunstad","given":"John","non-dropping-particle":"","parse-names":false,"suffix":""},{"dropping-particle":"","family":"Benitez","given":"Andreana","non-dropping-particle":"","parse-names":false,"suffix":""},{"dropping-particle":"","family":"Smith","given":"Joseph","non-dropping-particle":"","parse-names":false,"suffix":""},{"dropping-particle":"","family":"Glickman","given":"Ellen","non-dropping-particle":"","parse-names":false,"suffix":""},{"dropping-particle":"","family":"Spitznagel","given":"Mary B","non-dropping-particle":"","parse-names":false,"suffix":""},{"dropping-particle":"","family":"Alexander","given":"Thomas","non-dropping-particle":"","parse-names":false,"suffix":""},{"dropping-particle":"","family":"Juvancic-Heltzel","given":"Judi","non-dropping-particle":"","parse-names":false,"suffix":""},{"dropping-particle":"","family":"Murray","given":"Leigh","non-dropping-particle":"","parse-names":false,"suffix":""}],"container-title":"Journal of geriatric psychiatry and neurology","id":"ITEM-3","issue":"3","issued":{"date-parts":[["2008","9"]]},"language":"eng","page":"166-170","publisher-place":"United States","title":"Serum brain-derived neurotrophic factor is associated with cognitive function in  healthy older adults.","type":"article-journal","volume":"21"},"uris":["http://www.mendeley.com/documents/?uuid=93d6c298-299e-4bf4-ba65-d047e55cb870"]}],"mendeley":{"formattedCitation":"[30,40,41]","plainTextFormattedCitation":"[30,40,41]","previouslyFormattedCitation":"[29,39,40]"},"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[30,40,41]</w:t>
          </w:r>
          <w:r w:rsidR="004268A2" w:rsidRPr="00370C25">
            <w:rPr>
              <w:rStyle w:val="Rimandonotaapidipagina"/>
              <w:sz w:val="21"/>
              <w:szCs w:val="21"/>
            </w:rPr>
            <w:fldChar w:fldCharType="end"/>
          </w:r>
          <w:r w:rsidR="002E1C96" w:rsidRPr="00370C25">
            <w:rPr>
              <w:sz w:val="21"/>
              <w:szCs w:val="21"/>
            </w:rPr>
            <w:t xml:space="preserve"> and the reduced levels found in ART-naïve PLWH align with earlier evidence indicating impaired neurotrophic support and synaptic plasticity during uncontrolled HIV replication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{"citationItems":[{"id":"ITEM-1","itemData":{"DOI":"10.2147/NDT.S232836","ISSN":"1176-6328 (Print)","PMID":"32099373","abstract":"Human immunodeficiency virus (HIV)-associated neurocognitive disorder (HAND)  remains prevalent in the anti-retroviral (ART) era. While there is a complex interplay of many factors in the neuropathogenesis of HAND, decreased neurotrophic synthesis has been shown to contribute to synaptic degeneration which is a hallmark of HAND neuropathology. Brain derived neurotrophic factor (BDNF) is the most abundant and synaptic-promoting neurotrophic factor in the brain and plays a critical role in both learning and memory. Reduced BDNF levels can worsen neurocognitive impairment in HIV-positive individuals across several domains. In this paper, we review the evidence from pre-clinical and clinical studies showing the neuroprotective roles of BDNF against viral proteins, effect on co-morbid mental health disorders, altered human microbiome and ART in HAND management. Potential applications of BDNF modulation in pharmacotherapeutic, cognitive and behavioral interventions in HAND are also discussed. Finally, research gaps and future research direction are identified with the aim of helping researchers to direct efforts to make these BDNF driven interventions improve the quality of life of patients living with HAND.","author":[{"dropping-particle":"","family":"Michael","given":"Henry","non-dropping-particle":"","parse-names":false,"suffix":""},{"dropping-particle":"","family":"Mpofana","given":"Thabisile","non-dropping-particle":"","parse-names":false,"suffix":""},{"dropping-particle":"","family":"Ramlall","given":"Suvira","non-dropping-particle":"","parse-names":false,"suffix":""},{"dropping-particle":"","family":"Oosthuizen","given":"Frasia","non-dropping-particle":"","parse-names":false,"suffix":""}],"container-title":"Neuropsychiatric disease and treatment","id":"ITEM-1","issued":{"date-parts":[["2020"]]},"language":"eng","page":"355-367","publisher-place":"New Zealand","title":"The Role of Brain Derived Neurotrophic Factor in HIV-Associated Neurocognitive  Disorder: From the Bench-Top to the Bedside.","type":"article-journal","volume":"16"},"uris":["http://www.mendeley.com/documents/?uuid=37fd87ee-ed2c-40d4-9a9a-77f54332661a"]},{"id":"ITEM-2","itemData":{"DOI":"https://doi.org/10.1111/joim.12050","ISSN":"0954-6820","abstract":"Abstract Many people infected with the human immunodeficiency virus type-1 (HIV) exhibit mild or severe neurological problems, termed HIV-associated neurocognitive disorder (HAND), even when receiving antiretroviral therapy. Thus, novel adjunctive therapies must be developed to overcome the neurotoxic effect of HIV. New therapies require a better understanding of the molecular and cellular mechanisms of HIV-induced neurotoxicity and the risk factors that, besides inflammation and T-cell depletion and drugs of abuse, render the central nervous system (CNS) a target of HIV-induced neurotoxicity. HIV appears to impair neuronal plasticity, which refers to the innate ability of the CNS respond to injury and promote recovery of function. The availability of brain-derived neurotrophic factor (BDNF), a potent neurotrophic factor that is present in abundance in the adult brain, is essential for neuronal plasticity. BDNF acts through a receptor system composed of Trk and p75NTR. Here, we present experimental evidence that some of the clinical features of HIV-mediated neurological impairment could result from altered BDNF/TrkB/p75NTR regulation and function.","author":[{"dropping-particle":"","family":"Avdoshina","given":"V","non-dropping-particle":"","parse-names":false,"suffix":""},{"dropping-particle":"","family":"Bachis","given":"A","non-dropping-particle":"","parse-names":false,"suffix":""},{"dropping-particle":"","family":"Mocchetti","given":"I","non-dropping-particle":"","parse-names":false,"suffix":""}],"container-title":"Journal of Internal Medicine","id":"ITEM-2","issue":"5","issued":{"date-parts":[["2013","5"]]},"page":"454-465","publisher":"John Wiley &amp; Sons, Ltd","title":"Synaptic dysfunction in human immunodeficiency virus type-1-positive subjects: inflammation or impaired neuronal plasticity?","type":"article-journal","volume":"273"},"uris":["http://www.mendeley.com/documents/?uuid=54f366e6-fd76-47dc-b6ae-9cd61d323fb8"]},{"id":"ITEM-3","itemData":{"DOI":"10.1007/s00018-021-03785-y","ISSN":"1420-9071","abstract":"HIV-associated neurocognitive disorder (HAND) is characterized by cognitive and behavioral deficits in people living with HIV. HAND is still common in patients that take antiretroviral therapies, although they tend to present with less severe symptoms. The continued prevalence of HAND in treated patients is a major therapeutic challenge, as even minor cognitive impairment decreases patient’s quality of life. Therefore, modern HAND research aims to broaden our understanding of the mechanisms that drive cognitive impairment in people with HIV and identify promising molecular pathways and targets that could be exploited therapeutically. Recent studies suggest that HAND in treated patients is at least partially induced by subtle synaptodendritic damage and disruption of neuronal networks in brain areas that mediate learning, memory, and executive functions. Although the causes of subtle neuronal dysfunction are varied, reversing synaptodendritic damage in animal models restores cognitive function and thus highlights a promising therapeutic approach. In this review, we examine evidence of synaptodendritic damage and disrupted neuronal connectivity in HAND from clinical neuroimaging and neuropathology studies and discuss studies in HAND models that define structural and functional impairment of neurotransmission. Then, we report molecular pathways, mechanisms, and comorbidities involved in this neuronal dysfunction, discuss new approaches to reverse neuronal damage, and highlight current gaps in knowledge. Continued research on the manifestation and mechanisms of synaptic injury and network dysfunction in HAND patients and experimental models will be critical if we are to develop safe and effective therapies that reverse subtle neuropathology and cognitive impairment.","author":[{"dropping-particle":"","family":"Irollo","given":"Elena","non-dropping-particle":"","parse-names":false,"suffix":""},{"dropping-particle":"","family":"Luchetta","given":"Jared","non-dropping-particle":"","parse-names":false,"suffix":""},{"dropping-particle":"","family":"Ho","given":"Chunta","non-dropping-particle":"","parse-names":false,"suffix":""},{"dropping-particle":"","family":"Nash","given":"Bradley","non-dropping-particle":"","parse-names":false,"suffix":""},{"dropping-particle":"","family":"Meucci","given":"Olimpia","non-dropping-particle":"","parse-names":false,"suffix":""}],"container-title":"Cellular and Molecular Life Sciences","id":"ITEM-3","issue":"9","issued":{"date-parts":[["2021"]]},"page":"4283-4303","title":"Mechanisms of neuronal dysfunction in HIV-associated neurocognitive disorders","type":"article-journal","volume":"78"},"uris":["http://www.mendeley.com/documents/?uuid=1b856007-2630-489b-ac63-ff0b0788508a"]},{"id":"ITEM-4","itemData":{"DOI":"10.1155/2015/138979","ISSN":"1687-5443 (Electronic)","PMID":"26649202","abstract":"Based on the type of cells or tissues they tend to harbor or attack, many of the  viruses are characterized. But, in case of neurotropic viruses, it is not possible to classify them based on their tropism because many of them are not primarily neurotropic. While rabies and poliovirus are considered as strictly neurotropic, other neurotropic viruses involve nervous tissue only secondarily. Since the AIDS pandemic, the interest in neurotropic viral infections has become essential for all clinical neurologists. Although these neurotropic viruses are able to be harbored in or infect the nervous system, not all the neurotropic viruses have been reported to cause disrupted synaptic plasticity and impaired cognitive functions. In this review, we have discussed the neurotropic viruses, which play a major role in altered synaptic plasticity and neurological disorders.","author":[{"dropping-particle":"","family":"Atluri","given":"Venkata Subba Rao","non-dropping-particle":"","parse-names":false,"suffix":""},{"dropping-particle":"","family":"Hidalgo","given":"Melissa","non-dropping-particle":"","parse-names":false,"suffix":""},{"dropping-particle":"","family":"Samikkannu","given":"Thangavel","non-dropping-particle":"","parse-names":false,"suffix":""},{"dropping-particle":"","family":"Kurapati","given":"Kesava Rao Venkata","non-dropping-particle":"","parse-names":false,"suffix":""},{"dropping-particle":"","family":"Nair","given":"Madhavan","non-dropping-particle":"","parse-names":false,"suffix":""}],"container-title":"Neural plasticity","id":"ITEM-4","issued":{"date-parts":[["2015"]]},"language":"eng","page":"138979","publisher-place":"United States","title":"Synaptic Plasticity and Neurological Disorders in Neurotropic Viral Infections.","type":"article-journal","volume":"2015"},"uris":["http://www.mendeley.com/documents/?uuid=44ac4ed4-20e3-4658-bd81-6560ad89c995"]}],"mendeley":{"formattedCitation":"[29,42–44]","plainTextFormattedCitation":"[29,42–44]","previouslyFormattedCitation":"[28,41–43]"},"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[29,42–44]</w:t>
          </w:r>
          <w:r w:rsidR="004268A2" w:rsidRPr="00370C25">
            <w:rPr>
              <w:rStyle w:val="Rimandonotaapidipagina"/>
              <w:sz w:val="21"/>
              <w:szCs w:val="21"/>
            </w:rPr>
            <w:fldChar w:fldCharType="end"/>
          </w:r>
          <w:r w:rsidR="002E1C96" w:rsidRPr="00370C25">
            <w:rPr>
              <w:sz w:val="21"/>
              <w:szCs w:val="21"/>
            </w:rPr>
            <w:t>.</w:t>
          </w:r>
          <w:r w:rsidR="008F4306" w:rsidRPr="00370C25">
            <w:rPr>
              <w:sz w:val="21"/>
              <w:szCs w:val="21"/>
            </w:rPr>
            <w:t xml:space="preserve"> Thus, the concurrent increase in NGF and reduction in BDNF likely represent two interconnected aspects of HIV-driven neuroimmune dysregulation, where compensatory survival pathways coexist with impaired neurotrophic support and synaptic dysfunction. </w:t>
          </w:r>
          <w:r w:rsidR="002E1C96" w:rsidRPr="00370C25">
            <w:rPr>
              <w:sz w:val="21"/>
              <w:szCs w:val="21"/>
            </w:rPr>
            <w:t xml:space="preserve">The ability of HIV </w:t>
          </w:r>
          <w:r w:rsidR="0051579B" w:rsidRPr="00370C25">
            <w:rPr>
              <w:sz w:val="21"/>
              <w:szCs w:val="21"/>
            </w:rPr>
            <w:t>to</w:t>
          </w:r>
          <w:r w:rsidR="002E1C96" w:rsidRPr="00370C25">
            <w:rPr>
              <w:sz w:val="21"/>
              <w:szCs w:val="21"/>
            </w:rPr>
            <w:t xml:space="preserve"> reduc</w:t>
          </w:r>
          <w:r w:rsidR="0051579B" w:rsidRPr="00370C25">
            <w:rPr>
              <w:sz w:val="21"/>
              <w:szCs w:val="21"/>
            </w:rPr>
            <w:t>e</w:t>
          </w:r>
          <w:r w:rsidR="002E1C96" w:rsidRPr="00370C25">
            <w:rPr>
              <w:sz w:val="21"/>
              <w:szCs w:val="21"/>
            </w:rPr>
            <w:t xml:space="preserve"> serum BDNF</w:t>
          </w:r>
          <w:r w:rsidR="0051579B" w:rsidRPr="00370C25">
            <w:rPr>
              <w:sz w:val="21"/>
              <w:szCs w:val="21"/>
            </w:rPr>
            <w:t xml:space="preserve"> levels</w:t>
          </w:r>
          <w:r w:rsidR="002E1C96" w:rsidRPr="00370C25">
            <w:rPr>
              <w:sz w:val="21"/>
              <w:szCs w:val="21"/>
            </w:rPr>
            <w:t xml:space="preserve"> </w:t>
          </w:r>
          <w:r w:rsidR="0051579B" w:rsidRPr="00370C25">
            <w:rPr>
              <w:sz w:val="21"/>
              <w:szCs w:val="21"/>
            </w:rPr>
            <w:t>has been</w:t>
          </w:r>
          <w:r w:rsidR="002E1C96" w:rsidRPr="00370C25">
            <w:rPr>
              <w:sz w:val="21"/>
              <w:szCs w:val="21"/>
            </w:rPr>
            <w:t xml:space="preserve"> previously described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{"citationItems":[{"id":"ITEM-1","itemData":{"DOI":"10.1097/QAD.0b013e32834671b3","ISSN":"1473-5571 (Electronic)","PMID":"21422985","abstract":"Neurotrophins control cell survival. Therefore, we examined whether HIV-1 reduces  neurotrophin levels. Serum of HIV-positive individuals exhibited lower concentrations of brain-derived neurotrophic factor (BDNF), but not of other neurotrophins, than HIV-negative individuals. In addition, R5 and X4 strains of HIV-1 decreased BDNF expression in T cells. Our results support the hypothesis that reduced levels of BDNF may be a risk factor for T-cell apoptosis and for neurological complications associated with HIV-1 infection.","author":[{"dropping-particle":"","family":"Avdoshina","given":"Valeriya","non-dropping-particle":"","parse-names":false,"suffix":""},{"dropping-particle":"","family":"Garzino-Demo","given":"Alfredo","non-dropping-particle":"","parse-names":false,"suffix":""},{"dropping-particle":"","family":"Bachis","given":"Alessia","non-dropping-particle":"","parse-names":false,"suffix":""},{"dropping-particle":"","family":"Monaco","given":"Maria C G","non-dropping-particle":"","parse-names":false,"suffix":""},{"dropping-particle":"","family":"Maki","given":"Pauline M","non-dropping-particle":"","parse-names":false,"suffix":""},{"dropping-particle":"","family":"Tractenberg","given":"Rochelle E","non-dropping-particle":"","parse-names":false,"suffix":""},{"dropping-particle":"","family":"Liu","given":"Chenglong","non-dropping-particle":"","parse-names":false,"suffix":""},{"dropping-particle":"","family":"Young","given":"Mary A","non-dropping-particle":"","parse-names":false,"suffix":""},{"dropping-particle":"","family":"Mocchetti","given":"Italo","non-dropping-particle":"","parse-names":false,"suffix":""}],"container-title":"AIDS (London, England)","id":"ITEM-1","issue":"8","issued":{"date-parts":[["2011","5"]]},"language":"eng","page":"1126-1128","publisher-place":"England","title":"HIV-1 decreases the levels of neurotrophins in human lymphocytes.","type":"article-journal","volume":"25"},"uris":["http://www.mendeley.com/documents/?uuid=3b411f6f-b937-4d98-b6ec-8a0be5346810"]}],"mendeley":{"formattedCitation":"[45]","plainTextFormattedCitation":"[45]","previouslyFormattedCitation":"[44]"},"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[45]</w:t>
          </w:r>
          <w:r w:rsidR="004268A2" w:rsidRPr="00370C25">
            <w:rPr>
              <w:rStyle w:val="Rimandonotaapidipagina"/>
              <w:sz w:val="21"/>
              <w:szCs w:val="21"/>
            </w:rPr>
            <w:fldChar w:fldCharType="end"/>
          </w:r>
          <w:r w:rsidR="002E1C96" w:rsidRPr="00370C25">
            <w:rPr>
              <w:sz w:val="21"/>
              <w:szCs w:val="21"/>
            </w:rPr>
            <w:t xml:space="preserve">, but </w:t>
          </w:r>
          <w:r w:rsidR="0051579B" w:rsidRPr="00370C25">
            <w:rPr>
              <w:sz w:val="21"/>
              <w:szCs w:val="21"/>
            </w:rPr>
            <w:t>this is the fir</w:t>
          </w:r>
          <w:r w:rsidR="002E1C96" w:rsidRPr="00370C25">
            <w:rPr>
              <w:sz w:val="21"/>
              <w:szCs w:val="21"/>
            </w:rPr>
            <w:t>st time that</w:t>
          </w:r>
          <w:r w:rsidR="0051579B" w:rsidRPr="00370C25">
            <w:rPr>
              <w:sz w:val="21"/>
              <w:szCs w:val="21"/>
            </w:rPr>
            <w:t xml:space="preserve"> it has been shown that</w:t>
          </w:r>
          <w:r w:rsidR="002E1C96" w:rsidRPr="00370C25">
            <w:rPr>
              <w:sz w:val="21"/>
              <w:szCs w:val="21"/>
            </w:rPr>
            <w:t xml:space="preserve"> ART-treated PLWH </w:t>
          </w:r>
          <w:r w:rsidR="0051579B" w:rsidRPr="00370C25">
            <w:rPr>
              <w:sz w:val="21"/>
              <w:szCs w:val="21"/>
            </w:rPr>
            <w:t>have</w:t>
          </w:r>
          <w:r w:rsidR="002E1C96" w:rsidRPr="00370C25">
            <w:rPr>
              <w:sz w:val="21"/>
              <w:szCs w:val="21"/>
            </w:rPr>
            <w:t xml:space="preserve"> BDNF serum levels similar to</w:t>
          </w:r>
          <w:r w:rsidR="0051579B" w:rsidRPr="00370C25">
            <w:rPr>
              <w:sz w:val="21"/>
              <w:szCs w:val="21"/>
            </w:rPr>
            <w:t xml:space="preserve"> those of</w:t>
          </w:r>
          <w:r w:rsidR="002E1C96" w:rsidRPr="00370C25">
            <w:rPr>
              <w:sz w:val="21"/>
              <w:szCs w:val="21"/>
            </w:rPr>
            <w:t xml:space="preserve"> HIV-negative individuals</w:t>
          </w:r>
          <w:r w:rsidR="0051579B" w:rsidRPr="00370C25">
            <w:rPr>
              <w:sz w:val="21"/>
              <w:szCs w:val="21"/>
            </w:rPr>
            <w:t>. This</w:t>
          </w:r>
          <w:r w:rsidR="002E1C96" w:rsidRPr="00370C25">
            <w:rPr>
              <w:sz w:val="21"/>
              <w:szCs w:val="21"/>
            </w:rPr>
            <w:t xml:space="preserve"> suggest</w:t>
          </w:r>
          <w:r w:rsidR="0051579B" w:rsidRPr="00370C25">
            <w:rPr>
              <w:sz w:val="21"/>
              <w:szCs w:val="21"/>
            </w:rPr>
            <w:t>s th</w:t>
          </w:r>
          <w:r w:rsidR="002E1C96" w:rsidRPr="00370C25">
            <w:rPr>
              <w:sz w:val="21"/>
              <w:szCs w:val="21"/>
            </w:rPr>
            <w:t xml:space="preserve">at long-term viral suppression and immune reconstitution could mitigate </w:t>
          </w:r>
          <w:r w:rsidR="00F50E41" w:rsidRPr="00370C25">
            <w:rPr>
              <w:sz w:val="21"/>
              <w:szCs w:val="21"/>
            </w:rPr>
            <w:t>neurotrophins</w:t>
          </w:r>
          <w:r w:rsidR="002E1C96" w:rsidRPr="00370C25">
            <w:rPr>
              <w:sz w:val="21"/>
              <w:szCs w:val="21"/>
            </w:rPr>
            <w:t xml:space="preserve"> dysregulation</w:t>
          </w:r>
          <w:r w:rsidR="009A13E9" w:rsidRPr="00370C25">
            <w:rPr>
              <w:sz w:val="21"/>
              <w:szCs w:val="21"/>
            </w:rPr>
            <w:t xml:space="preserve"> (Fig. 3)</w:t>
          </w:r>
          <w:r w:rsidR="002E1C96" w:rsidRPr="00370C25">
            <w:rPr>
              <w:sz w:val="21"/>
              <w:szCs w:val="21"/>
            </w:rPr>
            <w:t xml:space="preserve">. The importance of the </w:t>
          </w:r>
          <w:proofErr w:type="spellStart"/>
          <w:r w:rsidR="002E1C96" w:rsidRPr="00370C25">
            <w:rPr>
              <w:sz w:val="21"/>
              <w:szCs w:val="21"/>
            </w:rPr>
            <w:t>viro</w:t>
          </w:r>
          <w:proofErr w:type="spellEnd"/>
          <w:r w:rsidR="002E1C96" w:rsidRPr="00370C25">
            <w:rPr>
              <w:sz w:val="21"/>
              <w:szCs w:val="21"/>
            </w:rPr>
            <w:t xml:space="preserve">-immunological status both at diagnosis and following ART has been described in several studies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{"citationItems":[{"id":"ITEM-1","itemData":{"DOI":"10.1016/j.jinf.2025.106414","ISSN":"1532-2742 (Electronic)","PMID":"39824292","abstract":"BACKGROUND: Antiretroviral therapy (ART) has significantly improved outcomes for  people living with HIV (PLWH), but poor CD4(+) T-cell recovery remains a challenge. This study aimed to evaluate the relationship between poor CD4(+) T-cell recovery and the morbidity of clinical events (CEs) in PLWH after ART initiation. METHODS: We conducted a comprehensive search of the EMBASE, PubMed, Web of Science, and Cochrane Library databases up to February 19, 2024, and included studies that reported the number of CEs along with the CD4 count at the time of the CEs or the most recent CD4 count prior to the CEs. A random-effects model was employed for meta-analysis to calculate odds ratios (ORs) and their 95% confidence intervals (CIs) for CEs at different CD4 count thresholds. FINDINGS: We included 15 studies with 54,766 PLWH and reported a significant inverse correlation between CD4(+) T-cell counts and the morbidity of both AIDS-defining events (ADEs) and non-AIDS-defining infections (NADIs). However, CD4(+) T-cell counts were not significantly associated with non-AIDS-defining noninfections (NADNIs). Compared with individuals with normal CD4 counts (&gt;500 cells/μL), those with CD4 counts &lt;200 cells/μL and 200-350 cells/μL exhibited higher ADEs morbidity, with ORs of 7·04 (95% CI: 1·77-28·03) and 1·63 (95% CI: 1·36-1·97), respectively. Similarly, individuals with CD4 counts &lt;200 cells/μL showed a higher morbidity of NADIs (OR = 2·82, 95% CI: 1·50-5·31). However, no significant difference in NADNI morbidity was observed between groups with poor CD4(+) T-cell recovery and those with normal CD4 counts. INTERPRETATION: This meta-analysis revealed an inverse relationship between CD4(+) T-cell counts and morbidity associated with ADEs and NADIs in PLWH after ART initiation, with key thresholds of 350 cells/μL and 200 cells/μL. No significant associations were found between CD4 counts and NADNIs. These results highlight the need for comprehensive patient care that goes beyond monitoring only CD4 counts.","author":[{"dropping-particle":"","family":"Mou","given":"Tangwei","non-dropping-particle":"","parse-names":false,"suffix":""},{"dropping-particle":"","family":"Gao","given":"Kai-Cheng","non-dropping-particle":"","parse-names":false,"suffix":""},{"dropping-particle":"","family":"Chen","given":"Xiyao","non-dropping-particle":"","parse-names":false,"suffix":""},{"dropping-particle":"","family":"Qian","given":"Qingyang","non-dropping-particle":"","parse-names":false,"suffix":""},{"dropping-particle":"","family":"Lin","given":"Jing","non-dropping-particle":"","parse-names":false,"suffix":""},{"dropping-particle":"","family":"Zhang","given":"Ran","non-dropping-particle":"","parse-names":false,"suffix":""},{"dropping-particle":"","family":"Yang","given":"Jing","non-dropping-particle":"","parse-names":false,"suffix":""},{"dropping-particle":"","family":"Qu","given":"Peipei","non-dropping-particle":"","parse-names":false,"suffix":""},{"dropping-particle":"","family":"Zhou","given":"Guozhong","non-dropping-particle":"","parse-names":false,"suffix":""},{"dropping-particle":"","family":"Kuang","given":"Yi-Qun","non-dropping-particle":"","parse-names":false,"suffix":""}],"container-title":"The Journal of infection","id":"ITEM-1","issue":"2","issued":{"date-parts":[["2025","2"]]},"language":"eng","page":"106414","publisher-place":"England","title":"Clinical events associated with poor CD4(+) T-cell recovery in people living with  HIV following ART: A systematic review and meta-analysis.","type":"article-journal","volume":"90"},"uris":["http://www.mendeley.com/documents/?uuid=c59acfcf-3994-4974-ba88-7a5187fdb795"]},{"id":"ITEM-2","itemData":{"DOI":"10.1097/QAD.0b013e3282f7cb76","ISSN":"1473-5571 (Electronic)","PMID":"18427202","abstract":"BACKGROUND: Reductions in AIDS-related morbidity and mortality following the  advent of combination antiretroviral therapy have coincided with relative increases in chronic non-AIDS end-organ diseases among HIV+ patients. OBJECTIVE: To examine the association of latest CD4+ counts with risk of non-AIDS diseases in a cohort of 1397 patients who initiate antiretroviral therapy. METHODS: CD4+ counts and HIV RNA levels along with fatal, and non-fatal, AIDS and non-AIDS diseases (liver, cardiovascular, renal, and cancer) were assessed over a median follow-up of 5 years. Cox proportional regression models were used to study risk associations. RESULTS: A total of 227 patients experienced an AIDS event and 80 patients developed a non-AIDS disease event. Both AIDS and non-AIDS diseases rates (events/100 person-years), respectively, declined with higher latest CD4+ counts: 13.8 and 2.1 with latest CD4+ counts less than 200 cells/microl; 2.0 and 1.7 for counts of 200-350 cells/microl; and 0.7 and 0.7 for counts greater than 350 cells/microl. After adjusting for baseline covariates and the latest HIV RNA level, risk of AIDS and non-AIDS diseases were lowered by 44% (95% confidence interval for hazard ratio 0.50-0.62, P &lt; 0.01) and 14% (95% confidence interval for hazard ratio 0.77-0.96, P = 0.01), respectively, for each 100 cell/microl higher latest CD4+ count. CONCLUSION: Higher CD4+ counts on antiretroviral therapy are associated with lower rates of non-AIDS diseases and AIDS. These findings expand our understanding of the implications of HIV-related immunodeficiency and motivate randomized studies to evaluate the effects of antiretroviral therapy on a broad set of clinical outcomes at CD4+ counts greater than 350 cells/microl.","author":[{"dropping-particle":"V","family":"Baker","given":"Jason","non-dropping-particle":"","parse-names":false,"suffix":""},{"dropping-particle":"","family":"Peng","given":"Grace","non-dropping-particle":"","parse-names":false,"suffix":""},{"dropping-particle":"","family":"Rapkin","given":"Joshua","non-dropping-particle":"","parse-names":false,"suffix":""},{"dropping-particle":"","family":"Abrams","given":"Donald I","non-dropping-particle":"","parse-names":false,"suffix":""},{"dropping-particle":"","family":"Silverberg","given":"Michael J","non-dropping-particle":"","parse-names":false,"suffix":""},{"dropping-particle":"","family":"MacArthur","given":"Rodger D","non-dropping-particle":"","parse-names":false,"suffix":""},{"dropping-particle":"","family":"Cavert","given":"Winston P","non-dropping-particle":"","parse-names":false,"suffix":""},{"dropping-particle":"","family":"Henry","given":"W Keith","non-dropping-particle":"","parse-names":false,"suffix":""},{"dropping-particle":"","family":"Neaton","given":"James D","non-dropping-particle":"","parse-names":false,"suffix":""}],"container-title":"AIDS (London, England)","id":"ITEM-2","issue":"7","issued":{"date-parts":[["2008","4"]]},"language":"eng","page":"841-848","publisher-place":"England","title":"CD4+ count and risk of non-AIDS diseases following initial treatment for HIV  infection.","type":"article-journal","volume":"22"},"uris":["http://www.mendeley.com/documents/?uuid=59e8be86-8484-4942-810b-fd912f48053c"]},{"id":"ITEM-3","itemData":{"DOI":"10.1093/ije/dyr164","ISSN":"1464-3685 (Electronic)","PMID":"22493325","abstract":"BACKGROUND: Using data from a large European collaborative study, we aimed to  identify the circumstances in which treated HIV-infected individuals will experience similar mortality rates to those of the general population. METHODS: Adults were eligible if they initiated combination anti-retroviral treatment (cART) between 1998 and 2008 and had one prior CD4 measurement within 6 months. Standardized mortality ratios (SMRs) and excess mortality rates compared with the general population were estimated using Poisson regression. Periods of follow-up were classified according to the current CD4 count. RESULTS: Of the 80 642 individuals, 70% were men, 16% were injecting drug users (IDUs), the median age was 37 years, median CD4 count 225/mm(3) at cART initiation and median follow-up was 3.5 years. The overall mortality rate was 1.2/100 person-years (PY) (men: 1.3, women: 0.9), 4.2 times as high as that in the general population (SMR for men: 3.8, for women: 7.4). Among 35 316 individuals with a CD4 count ≥500/mm(3), the mortality rate was 0.37/100 PY (SMR 1.5); mortality rates were similar to those of the general population in non-IDU men [SMR 0.9, 95% confidence interval (95% CI) 0.7-1.3] and, after 3 years, in women (SMR 1.1, 95% CI 0.7-1.7). Mortality rates in IDUs remained elevated, though a trend to decrease with longer durations with high CD4 count was seen. A prior AIDS diagnosis was associated with higher mortality. CONCLUSIONS: Mortality patterns in most non-IDU HIV-infected individuals with high CD4 counts on cART are similar to those in the general population. The persistent role of a prior AIDS diagnosis underlines the importance of early diagnosis of HIV infection.","author":[{"dropping-particle":"","family":"Lewden","given":"Charlotte","non-dropping-particle":"","parse-names":false,"suffix":""},{"dropping-particle":"","family":"Bouteloup","given":"Vincent","non-dropping-particle":"","parse-names":false,"suffix":""},{"dropping-particle":"","family":"Wit","given":"Stéphane","non-dropping-particle":"De","parse-names":false,"suffix":""},{"dropping-particle":"","family":"Sabin","given":"Caroline","non-dropping-particle":"","parse-names":false,"suffix":""},{"dropping-particle":"","family":"Mocroft","given":"Amanda","non-dropping-particle":"","parse-names":false,"suffix":""},{"dropping-particle":"","family":"Wasmuth","given":"Jan Christian","non-dropping-particle":"","parse-names":false,"suffix":""},{"dropping-particle":"","family":"Sighem","given":"Ard","non-dropping-particle":"van","parse-names":false,"suffix":""},{"dropping-particle":"","family":"Kirk","given":"Ole","non-dropping-particle":"","parse-names":false,"suffix":""},{"dropping-particle":"","family":"Obel","given":"Niels","non-dropping-particle":"","parse-names":false,"suffix":""},{"dropping-particle":"","family":"Panos","given":"George","non-dropping-particle":"","parse-names":false,"suffix":""},{"dropping-particle":"","family":"Ghosn","given":"Jade","non-dropping-particle":"","parse-names":false,"suffix":""},{"dropping-particle":"","family":"Dabis","given":"François","non-dropping-particle":"","parse-names":false,"suffix":""},{"dropping-particle":"","family":"Mary-Krause","given":"Murielle","non-dropping-particle":"","parse-names":false,"suffix":""},{"dropping-particle":"","family":"Leport","given":"Catherine","non-dropping-particle":"","parse-names":false,"suffix":""},{"dropping-particle":"","family":"Perez-Hoyos","given":"Santiago","non-dropping-particle":"","parse-names":false,"suffix":""},{"dropping-particle":"","family":"Sobrino-Vegas","given":"Paz","non-dropping-particle":"","parse-names":false,"suffix":""},{"dropping-particle":"","family":"Stephan","given":"Christoph","non-dropping-particle":"","parse-names":false,"suffix":""},{"dropping-particle":"","family":"Castagna","given":"Antonella","non-dropping-particle":"","parse-names":false,"suffix":""},{"dropping-particle":"","family":"Antinori","given":"Andrea","non-dropping-particle":"","parse-names":false,"suffix":""},{"dropping-particle":"","family":"d'Arminio Monforte","given":"Antonella","non-dropping-particle":"","parse-names":false,"suffix":""},{"dropping-particle":"","family":"Torti","given":"Carlo","non-dropping-particle":"","parse-names":false,"suffix":""},{"dropping-particle":"","family":"Mussini","given":"Cristina","non-dropping-particle":"","parse-names":false,"suffix":""},{"dropping-particle":"","family":"Isern","given":"Virginia","non-dropping-particle":"","parse-names":false,"suffix":""},{"dropping-particle":"","family":"Calmy","given":"Alexandra","non-dropping-particle":"","parse-names":false,"suffix":""},{"dropping-particle":"","family":"Teira","given":"Ramón","non-dropping-particle":"","parse-names":false,"suffix":""},{"dropping-particle":"","family":"Egger","given":"Matthias","non-dropping-particle":"","parse-names":false,"suffix":""},{"dropping-particle":"","family":"Grarup","given":"Jesper","non-dropping-particle":"","parse-names":false,"suffix":""},{"dropping-particle":"","family":"Chêne","given":"Geneviève","non-dropping-particle":"","parse-names":false,"suffix":""}],"container-title":"International journal of epidemiology","id":"ITEM-3","issue":"2","issued":{"date-parts":[["2012","4"]]},"language":"eng","page":"433-445","publisher-place":"England","title":"All-cause mortality in treated HIV-infected adults with CD4 ≥500/mm3 compared  with the general population: evidence from a large European observational cohort collaboration.","type":"article-journal","volume":"41"},"uris":["http://www.mendeley.com/documents/?uuid=1c2aafa1-ddc7-48c1-a348-5d3539af38b5"]},{"id":"ITEM-4","itemData":{"DOI":"10.1186/s12865-019-0311-2","ISSN":"1471-2172 (Electronic)","PMID":"31455209","abstract":"BACKGROUND: The immune reconstitution after initiation of highly active  antiretroviral therapy (HAART) among HIV-infected individuals substantially affects patients' prognosis. However, the dynamic characteristics and predictors of reconstitution outcome remain unclear. METHODS: In this study, the HIV/AIDS patients with sustained virological suppression (viral load &lt; 50 copies/ml) after HAART were enrolled. The patients were subgrouped into immunological non-responders (INRs) (&lt; 200 cells/μl), immunological inadequate responders (IIRs) (200 ~ 500 cells/μl) and immunological responders (IRs) (&gt; 500 cells/μl) according to the CD4 cell count after two-year HAART. The immune reconstitution data based on the CD4(+) and CD8(+) cell counts with 8-year follow-up were collected for analysis. RESULTS: The CD4(+) cell counts in the immunological responders (IRs) were significantly higher than in the immunological non-responders (INRs) and immunological inadequate responders (IIRs) (P &lt;  0.001). The overall CD4(+) cell count and CD4/CD8 ratio in the IRs increased faster than the IIRs and INRs. The CD4(+) cell count growth at 0.5 year and 1 year after HAART in the IRs was significantly higher than the IIRs and INRs. The ROC curve demonstrated that 1 year CD4(+) cell count had the highest predictive value, with the best cut-off value of 188 cells/μl, the predictive sensitivity was 81.0%, the predictive specificity was 85.2%, false positive rate was 14.8%, false negative rate was 19.0%, positive predictive value (IR) was 63.0%, negative predictive value (INR) was 93.5%. CONCLUSIONS: Taken together, our findings suggest that early initiation of HAART can reduce the immune reconstitution failure. The combination of baseline CD4(+) cell count and baseline CD4/CD8 ratio may serve as a valid predictor of immune reconstitution prognosis after HAART.","author":[{"dropping-particle":"","family":"Li","given":"Chong-Xi","non-dropping-particle":"","parse-names":false,"suffix":""},{"dropping-particle":"","family":"Li","given":"Yu-Ye","non-dropping-particle":"","parse-names":false,"suffix":""},{"dropping-particle":"","family":"He","given":"Li-Ping","non-dropping-particle":"","parse-names":false,"suffix":""},{"dropping-particle":"","family":"Kou","given":"Jing","non-dropping-particle":"","parse-names":false,"suffix":""},{"dropping-particle":"","family":"Bai","given":"Jin-Song","non-dropping-particle":"","parse-names":false,"suffix":""},{"dropping-particle":"","family":"Liu","given":"Jun","non-dropping-particle":"","parse-names":false,"suffix":""},{"dropping-particle":"","family":"Tian","given":"Bo","non-dropping-particle":"","parse-names":false,"suffix":""},{"dropping-particle":"","family":"Cao","given":"Li-Juan","non-dropping-particle":"","parse-names":false,"suffix":""},{"dropping-particle":"","family":"Wang","given":"Kun-Hua","non-dropping-particle":"","parse-names":false,"suffix":""},{"dropping-particle":"","family":"Kuang","given":"Yi-Qun","non-dropping-particle":"","parse-names":false,"suffix":""}],"container-title":"BMC immunology","id":"ITEM-4","issue":"1","issued":{"date-parts":[["2019","8"]]},"language":"eng","page":"31","publisher-place":"England","title":"The predictive role of CD4(+) cell count and CD4/CD8 ratio in immune  reconstitution outcome among HIV/AIDS patients receiving antiretroviral therapy: an eight-year observation in China.","type":"article-journal","volume":"20"},"uris":["http://www.mendeley.com/documents/?uuid=ad537c9a-687f-43a3-bd38-453592884f6c"]}],"mendeley":{"formattedCitation":"[46–49]","plainTextFormattedCitation":"[46–49]","previouslyFormattedCitation":"[45–48]"},"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[46–49]</w:t>
          </w:r>
          <w:r w:rsidR="004268A2" w:rsidRPr="00370C25">
            <w:rPr>
              <w:rStyle w:val="Rimandonotaapidipagina"/>
              <w:sz w:val="21"/>
              <w:szCs w:val="21"/>
            </w:rPr>
            <w:fldChar w:fldCharType="end"/>
          </w:r>
          <w:r w:rsidR="002E1C96" w:rsidRPr="00370C25">
            <w:rPr>
              <w:sz w:val="21"/>
              <w:szCs w:val="21"/>
            </w:rPr>
            <w:t xml:space="preserve">. For this reason, our second </w:t>
          </w:r>
          <w:r w:rsidR="0051579B" w:rsidRPr="00370C25">
            <w:rPr>
              <w:sz w:val="21"/>
              <w:szCs w:val="21"/>
            </w:rPr>
            <w:t>objective</w:t>
          </w:r>
          <w:r w:rsidR="002E1C96" w:rsidRPr="00370C25">
            <w:rPr>
              <w:sz w:val="21"/>
              <w:szCs w:val="21"/>
            </w:rPr>
            <w:t xml:space="preserve"> was to examine </w:t>
          </w:r>
          <w:r w:rsidR="0051579B" w:rsidRPr="00370C25">
            <w:rPr>
              <w:sz w:val="21"/>
              <w:szCs w:val="21"/>
            </w:rPr>
            <w:t>how</w:t>
          </w:r>
          <w:r w:rsidR="002E1C96" w:rsidRPr="00370C25">
            <w:rPr>
              <w:sz w:val="21"/>
              <w:szCs w:val="21"/>
            </w:rPr>
            <w:t xml:space="preserve"> changes in serum levels of these neurotrophins </w:t>
          </w:r>
          <w:r w:rsidR="0051579B" w:rsidRPr="00370C25">
            <w:rPr>
              <w:sz w:val="21"/>
              <w:szCs w:val="21"/>
            </w:rPr>
            <w:t>are influenced by</w:t>
          </w:r>
          <w:r w:rsidR="002E1C96" w:rsidRPr="00370C25">
            <w:rPr>
              <w:sz w:val="21"/>
              <w:szCs w:val="21"/>
            </w:rPr>
            <w:t xml:space="preserve"> CD4</w:t>
          </w:r>
          <w:r w:rsidR="00F50E41" w:rsidRPr="00370C25">
            <w:rPr>
              <w:sz w:val="21"/>
              <w:szCs w:val="21"/>
              <w:vertAlign w:val="superscript"/>
            </w:rPr>
            <w:t>+</w:t>
          </w:r>
          <w:r w:rsidR="002E1C96" w:rsidRPr="00370C25">
            <w:rPr>
              <w:sz w:val="21"/>
              <w:szCs w:val="21"/>
            </w:rPr>
            <w:t xml:space="preserve"> and CD8</w:t>
          </w:r>
          <w:r w:rsidR="00F50E41" w:rsidRPr="00370C25">
            <w:rPr>
              <w:sz w:val="21"/>
              <w:szCs w:val="21"/>
              <w:vertAlign w:val="superscript"/>
            </w:rPr>
            <w:t>+</w:t>
          </w:r>
          <w:r w:rsidR="002E1C96" w:rsidRPr="00370C25">
            <w:rPr>
              <w:sz w:val="21"/>
              <w:szCs w:val="21"/>
            </w:rPr>
            <w:t xml:space="preserve"> </w:t>
          </w:r>
          <w:r w:rsidR="00F50E41" w:rsidRPr="00370C25">
            <w:rPr>
              <w:sz w:val="21"/>
              <w:szCs w:val="21"/>
            </w:rPr>
            <w:t xml:space="preserve">T </w:t>
          </w:r>
          <w:r w:rsidR="002E1C96" w:rsidRPr="00370C25">
            <w:rPr>
              <w:sz w:val="21"/>
              <w:szCs w:val="21"/>
            </w:rPr>
            <w:t>cell counts, CD4/CD8 ratio, nadir CD4</w:t>
          </w:r>
          <w:r w:rsidR="00F50E41" w:rsidRPr="00370C25">
            <w:rPr>
              <w:sz w:val="21"/>
              <w:szCs w:val="21"/>
              <w:vertAlign w:val="superscript"/>
            </w:rPr>
            <w:t>+</w:t>
          </w:r>
          <w:r w:rsidR="00F50E41" w:rsidRPr="00370C25">
            <w:rPr>
              <w:sz w:val="21"/>
              <w:szCs w:val="21"/>
            </w:rPr>
            <w:t xml:space="preserve"> T</w:t>
          </w:r>
          <w:r w:rsidR="002E1C96" w:rsidRPr="00370C25">
            <w:rPr>
              <w:sz w:val="21"/>
              <w:szCs w:val="21"/>
            </w:rPr>
            <w:t xml:space="preserve"> cell </w:t>
          </w:r>
          <w:proofErr w:type="gramStart"/>
          <w:r w:rsidR="002E1C96" w:rsidRPr="00370C25">
            <w:rPr>
              <w:sz w:val="21"/>
              <w:szCs w:val="21"/>
            </w:rPr>
            <w:t>count</w:t>
          </w:r>
          <w:proofErr w:type="gramEnd"/>
          <w:r w:rsidR="002E1C96" w:rsidRPr="00370C25">
            <w:rPr>
              <w:sz w:val="21"/>
              <w:szCs w:val="21"/>
            </w:rPr>
            <w:t xml:space="preserve"> and zenith HIV-RNA. Here, we observed that NGF decreased and BDNF increased in the serum of PLWH as </w:t>
          </w:r>
          <w:r w:rsidR="0051579B" w:rsidRPr="00370C25">
            <w:rPr>
              <w:sz w:val="21"/>
              <w:szCs w:val="21"/>
            </w:rPr>
            <w:t xml:space="preserve">their immune status </w:t>
          </w:r>
          <w:r w:rsidR="002E1C96" w:rsidRPr="00370C25">
            <w:rPr>
              <w:sz w:val="21"/>
              <w:szCs w:val="21"/>
            </w:rPr>
            <w:t xml:space="preserve">improved, </w:t>
          </w:r>
          <w:r w:rsidR="0051579B" w:rsidRPr="00370C25">
            <w:rPr>
              <w:sz w:val="21"/>
              <w:szCs w:val="21"/>
            </w:rPr>
            <w:t xml:space="preserve">as </w:t>
          </w:r>
          <w:r w:rsidR="002E1C96" w:rsidRPr="00370C25">
            <w:rPr>
              <w:sz w:val="21"/>
              <w:szCs w:val="21"/>
            </w:rPr>
            <w:t>expressed in terms of CD4</w:t>
          </w:r>
          <w:r w:rsidR="00F50E41" w:rsidRPr="00370C25">
            <w:rPr>
              <w:sz w:val="21"/>
              <w:szCs w:val="21"/>
              <w:vertAlign w:val="superscript"/>
            </w:rPr>
            <w:t>+</w:t>
          </w:r>
          <w:r w:rsidR="002E1C96" w:rsidRPr="00370C25">
            <w:rPr>
              <w:sz w:val="21"/>
              <w:szCs w:val="21"/>
            </w:rPr>
            <w:t xml:space="preserve"> </w:t>
          </w:r>
          <w:r w:rsidR="00F50E41" w:rsidRPr="00370C25">
            <w:rPr>
              <w:sz w:val="21"/>
              <w:szCs w:val="21"/>
            </w:rPr>
            <w:t xml:space="preserve">T </w:t>
          </w:r>
          <w:r w:rsidR="002E1C96" w:rsidRPr="00370C25">
            <w:rPr>
              <w:sz w:val="21"/>
              <w:szCs w:val="21"/>
            </w:rPr>
            <w:t>cell count</w:t>
          </w:r>
          <w:r w:rsidR="0051579B" w:rsidRPr="00370C25">
            <w:rPr>
              <w:sz w:val="21"/>
              <w:szCs w:val="21"/>
            </w:rPr>
            <w:t xml:space="preserve"> and</w:t>
          </w:r>
          <w:r w:rsidR="002E1C96" w:rsidRPr="00370C25">
            <w:rPr>
              <w:sz w:val="21"/>
              <w:szCs w:val="21"/>
            </w:rPr>
            <w:t xml:space="preserve"> CD4/CD8 ratio</w:t>
          </w:r>
          <w:r w:rsidR="0051579B" w:rsidRPr="00370C25">
            <w:rPr>
              <w:sz w:val="21"/>
              <w:szCs w:val="21"/>
            </w:rPr>
            <w:t>. This</w:t>
          </w:r>
          <w:r w:rsidR="002E1C96" w:rsidRPr="00370C25">
            <w:rPr>
              <w:sz w:val="21"/>
              <w:szCs w:val="21"/>
            </w:rPr>
            <w:t xml:space="preserve"> suggest</w:t>
          </w:r>
          <w:r w:rsidR="0051579B" w:rsidRPr="00370C25">
            <w:rPr>
              <w:sz w:val="21"/>
              <w:szCs w:val="21"/>
            </w:rPr>
            <w:t xml:space="preserve">s </w:t>
          </w:r>
          <w:r w:rsidR="002E1C96" w:rsidRPr="00370C25">
            <w:rPr>
              <w:sz w:val="21"/>
              <w:szCs w:val="21"/>
            </w:rPr>
            <w:t>that immune recovery is essential in reducing</w:t>
          </w:r>
          <w:r w:rsidR="0051579B" w:rsidRPr="00370C25">
            <w:rPr>
              <w:sz w:val="21"/>
              <w:szCs w:val="21"/>
            </w:rPr>
            <w:t xml:space="preserve"> the risk of</w:t>
          </w:r>
          <w:r w:rsidR="002E1C96" w:rsidRPr="00370C25">
            <w:rPr>
              <w:sz w:val="21"/>
              <w:szCs w:val="21"/>
            </w:rPr>
            <w:t xml:space="preserve"> SNAEs. These findings support the hypothesis that BDNF could be useful as a biomarker of neuroimmune health in PLWH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{"citationItems":[{"id":"ITEM-1","itemData":{"DOI":"10.1177/10998004241296466","ISSN":"1552-4175 (Electronic)","PMID":"39466720","abstract":"Background: People with HIV (PWH) are at risk of developing HIV-associated  neurocognitive disorder (HAND) despite receiving combination antiretroviral therapy. Brain-derived neurotrophic factor (BDNF) has been implicated in cognitive function and neuroplasticity, but its role in HIV-related neuroinflammation remains understudied. Methods: This study analyzed data from the CHAMPS study, assessing BDNF serum levels and cognitive function in 140 adults with HIV at baseline. Cognitive function was evaluated using the PROMIS Applied Cognition-Abilities 8-item questionnaire. BDNF levels (pg/ml) were measured using high sensitivity Enzyme-Linked Immunoassay (ELISA) kits. Linear regression analyses were conducted to explore the associations between BDNF levels, cognitive function, and AIDS diagnosis, adjusting for demographic variables. Results: A significant positive association was found between BDNF levels and cognitive function scores in PWH (p = .03). Additionally, PWH with a history of AIDS diagnosis showed significantly lower BDNF levels (p = .02). Other demographic factors did not significantly impact cognitive function or BDNF levels in this cohort. Conclusions: Our results highlight the potential of BDNF as a biomarker for cognitive decline in PWH and suggest its relevance in understanding HAND pathophysiology. Further research is warranted to explore the multifaceted interactions influencing cognitive outcomes in this population and to develop targeted interventions for improving cognitive health in PWH.","author":[{"dropping-particle":"","family":"Belloir","given":"Joseph A","non-dropping-particle":"","parse-names":false,"suffix":""},{"dropping-particle":"","family":"Myers","given":"Thomas","non-dropping-particle":"","parse-names":false,"suffix":""},{"dropping-particle":"","family":"Batey","given":"Scott","non-dropping-particle":"","parse-names":false,"suffix":""},{"dropping-particle":"","family":"Schnall","given":"Rebecca","non-dropping-particle":"","parse-names":false,"suffix":""}],"container-title":"Biological research for nursing","id":"ITEM-1","issue":"2","issued":{"date-parts":[["2025","4"]]},"language":"eng","page":"255-260","publisher-place":"United States","title":"Brain-Derived Neurotrophic Factor (BDNF) is Associated with Self-Reported  Cognitive Function in Adults with HIV.","type":"article-journal","volume":"27"},"uris":["http://www.mendeley.com/documents/?uuid=74ddab52-d08f-4ca9-ad0f-5625fa9775ac"]}],"mendeley":{"formattedCitation":"[30]","plainTextFormattedCitation":"[30]","previouslyFormattedCitation":"[29]"},"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noProof/>
              <w:sz w:val="21"/>
              <w:szCs w:val="21"/>
            </w:rPr>
            <w:t>[30]</w:t>
          </w:r>
          <w:r w:rsidR="004268A2" w:rsidRPr="00370C25">
            <w:rPr>
              <w:rStyle w:val="Rimandonotaapidipagina"/>
              <w:sz w:val="21"/>
              <w:szCs w:val="21"/>
            </w:rPr>
            <w:fldChar w:fldCharType="end"/>
          </w:r>
          <w:r w:rsidR="002E1C96" w:rsidRPr="00370C25">
            <w:rPr>
              <w:sz w:val="21"/>
              <w:szCs w:val="21"/>
            </w:rPr>
            <w:t xml:space="preserve">, while </w:t>
          </w:r>
          <w:r w:rsidR="002E1C96" w:rsidRPr="00370C25">
            <w:rPr>
              <w:sz w:val="21"/>
              <w:szCs w:val="21"/>
            </w:rPr>
            <w:t>NGF levels inversely correlated with CD4</w:t>
          </w:r>
          <w:r w:rsidR="002E1C96" w:rsidRPr="00370C25">
            <w:rPr>
              <w:sz w:val="21"/>
              <w:szCs w:val="21"/>
              <w:vertAlign w:val="superscript"/>
            </w:rPr>
            <w:t>+</w:t>
          </w:r>
          <w:r w:rsidR="002E1C96" w:rsidRPr="00370C25">
            <w:rPr>
              <w:sz w:val="21"/>
              <w:szCs w:val="21"/>
            </w:rPr>
            <w:t xml:space="preserve"> T cell count further support the link between immune impairment and stress-related NGF upregulation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{"citationItems":[{"id":"ITEM-1","itemData":{"DOI":"10.3390/ijms18051028","ISSN":"1422-0067 (Electronic)","PMID":"28492466","abstract":"There is growing interest in the complex relationship between the nervous and  immune systems and how its alteration can affect homeostasis and result in the development of inflammatory diseases. A key mediator in cross-talk between the two systems is nerve growth factor (NGF), which can influence both neuronal cell function and immune cell activity. The up-regulation of NGF described in inflamed tissues of many diseases can regulate innervation and neuronal activity of peripheral neurons, inducing the release of immune-active neuropeptides and neurotransmitters, but can also directly influence innate and adaptive immune responses. Expression of the NGF receptors tropomyosin receptor kinase A (TrkA) and p75 neurotrophin receptor (p75NTR) is dynamically regulated in immune cells, suggesting a varying requirement for NGF depending on their state of differentiation and functional activity. NGF has a variety of effects that can be either pro-inflammatory or anti-inflammatory. This apparent contradiction can be explained by considering NGF as part of an endogenous mechanism that, while activating immune responses, also activates pathways necessary to dampen the inflammatory response and limit tissue damage. Decreases in TrkA expression, such as that recently demonstrated in immune cells of arthritis patients, might prevent the activation by NGF of regulatory feed-back mechanisms, thus contributing to the development and maintenance of chronic inflammation.","author":[{"dropping-particle":"","family":"Minnone","given":"Gaetana","non-dropping-particle":"","parse-names":false,"suffix":""},{"dropping-particle":"","family":"Benedetti","given":"Fabrizio","non-dropping-particle":"De","parse-names":false,"suffix":""},{"dropping-particle":"","family":"Bracci-Laudiero","given":"Luisa","non-dropping-particle":"","parse-names":false,"suffix":""}],"container-title":"International journal of molecular sciences","id":"ITEM-1","issue":"5","issued":{"date-parts":[["2017","5"]]},"language":"eng","publisher-place":"Switzerland","title":"NGF and Its Receptors in the Regulation of Inflammatory Response.","type":"article-journal","volume":"18"},"uris":["http://www.mendeley.com/documents/?uuid=d2459398-1cf6-4495-8779-45eb814cab9c"]},{"id":"ITEM-2","itemData":{"DOI":"10.4049/jimmunol.1300825","ISSN":"1550-6606 (Electronic)","PMID":"24585880","abstract":"Nerve growth factor (NGF) levels are highly increased in inflamed tissues, but  their role is unclear. We show that NGF is part of a regulatory loop in monocytes: inflammatory stimuli, while activating a proinflammatory response through TLRs, upregulate the expression of the NGF receptor TrkA. In turn, NGF, by binding to TrkA, interferes with TLR responses. In TLR-activated monocytes, NGF reduces inflammatory cytokine production (IL-1β, TNF-α, IL-6, and IL-8) while inducing the release of anti-inflammatory mediators (IL-10 and IL-1 receptor antagonist). NGF binding to TrkA affects TLR signaling, favoring pathways that mediate inhibition of inflammatory responses: it increases Akt phosphorylation, inhibits glycogen synthase kinase 3 activity, reduces IκB phosphorylation and p65 NF-κB translocation, and increases nuclear p50 NF-κB binding activity. Use of TrkA inhibitors in TLR-activated monocytes abolishes the effects of NGF on the activation of anti-inflammatory signaling pathways, thus increasing NF-κB pathway activation and inflammatory cytokine production while reducing IL-10 production. PBMC and mononuclear cells obtained from the synovial fluid of patients with juvenile idiopathic arthritis show marked downregulation of TrkA expression. In ex vivo experiments, the addition of NGF to LPS-activated juvenile idiopathic arthritis to both mononuclear cells from synovial fluid and PBMC fails to reduce the production of IL-6 that, in contrast, is observed in healthy donors. This suggests that defective TrkA expression may facilitate proinflammatory mechanisms, contributing to chronic tissue inflammation and damage. In conclusion, this study identifies a novel regulatory mechanism of inflammatory responses through NGF and its receptor TrkA, for which abnormality may have pathogenic implications for chronic inflammatory diseases.","author":[{"dropping-particle":"","family":"Prencipe","given":"Giusi","non-dropping-particle":"","parse-names":false,"suffix":""},{"dropping-particle":"","family":"Minnone","given":"Gaetana","non-dropping-particle":"","parse-names":false,"suffix":""},{"dropping-particle":"","family":"Strippoli","given":"Raffaele","non-dropping-particle":"","parse-names":false,"suffix":""},{"dropping-particle":"","family":"Pasquale","given":"Loredana","non-dropping-particle":"De","parse-names":false,"suffix":""},{"dropping-particle":"","family":"Petrini","given":"Stefania","non-dropping-particle":"","parse-names":false,"suffix":""},{"dropping-particle":"","family":"Caiello","given":"Ivan","non-dropping-particle":"","parse-names":false,"suffix":""},{"dropping-particle":"","family":"Manni","given":"Luigi","non-dropping-particle":"","parse-names":false,"suffix":""},{"dropping-particle":"","family":"Benedetti","given":"Fabrizio","non-dropping-particle":"De","parse-names":false,"suffix":""},{"dropping-particle":"","family":"Bracci-Laudiero","given":"Luisa","non-dropping-particle":"","parse-names":false,"suffix":""}],"container-title":"Journal of immunology (Baltimore, Md. : 1950)","id":"ITEM-2","issue":"7","issued":{"date-parts":[["2014","4"]]},"language":"eng","page":"3345-3354","publisher-place":"England","title":"Nerve growth factor downregulates inflammatory response in human monocytes  through TrkA.","type":"article-journal","volume":"192"},"uris":["http://www.mendeley.com/documents/?uuid=45a105ee-1cf3-420f-943c-2d6561579dc5"]},{"id":"ITEM-3","itemData":{"DOI":"10.1111/j.1398-9995.1997.tb01247.x","ISSN":"0105-4538 (Print)","PMID":"9298172","abstract":"Numerous studies published in the last 10-15 years have shown that nerve growth  factor (NGF), a polypeptide originally discovered in connection with its neurotrophic activity, also acts on cells of the immune system. NGF has been found in various immune organs including the spleen, lymph nodes, and thymus, and cells such as mast cells, eosinophils, and B and T cells. The circulating levels of NGF increase in inflammatory responses, in various autoimmune diseases, in parasitic infections, and in allergic diseases. Stress-related events both in animal models and in man also result in an increase of NGF, suggesting that this molecule is involved in neuroendocrine functions. The rapid release of NGF is part of an alerting signal in response to either psychologically stressful or anxiogenic conditions in response to homeostatic alteration. Thus, the inflammation and stress-induced increase in NGF might alone or in association with other biologic mediators induce the activation of immune cells during immunologic insults. A clearer understanding of the role of NGF in these events may be useful to identify the mechanisms implicated in certain neuroimmune and immune dysfunctions.","author":[{"dropping-particle":"","family":"Aloe","given":"L","non-dropping-particle":"","parse-names":false,"suffix":""},{"dropping-particle":"","family":"Bracci-Laudiero","given":"L","non-dropping-particle":"","parse-names":false,"suffix":""},{"dropping-particle":"","family":"Bonini","given":"S","non-dropping-particle":"","parse-names":false,"suffix":""},{"dropping-particle":"","family":"Manni","given":"L","non-dropping-particle":"","parse-names":false,"suffix":""}],"container-title":"Allergy","id":"ITEM-3","issue":"9","issued":{"date-parts":[["1997","9"]]},"language":"eng","page":"883-894","publisher-place":"Denmark","title":"The expanding role of nerve growth factor: from neurotrophic activity to  immunologic diseases.","type":"article-journal","volume":"52"},"uris":["http://www.mendeley.com/documents/?uuid=2802f5e6-8b6b-4ea3-b6b6-18da999f5638"]}],"mendeley":{"formattedCitation":"[36,37,50]","plainTextFormattedCitation":"[36,37,50]","previouslyFormattedCitation":"[35,36,49]"},"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[36,37,50]</w:t>
          </w:r>
          <w:r w:rsidR="004268A2" w:rsidRPr="00370C25">
            <w:rPr>
              <w:rStyle w:val="Rimandonotaapidipagina"/>
              <w:sz w:val="21"/>
              <w:szCs w:val="21"/>
            </w:rPr>
            <w:fldChar w:fldCharType="end"/>
          </w:r>
          <w:r w:rsidR="002E1C96" w:rsidRPr="00370C25">
            <w:rPr>
              <w:sz w:val="21"/>
              <w:szCs w:val="21"/>
            </w:rPr>
            <w:t>. Considering the historical markers, despite the analysis being conducted on a small sample size, we found a positive correlation between zenith HIV-RNA and NGF levels in ART-treated PL</w:t>
          </w:r>
          <w:r w:rsidR="00C0460F" w:rsidRPr="00370C25">
            <w:rPr>
              <w:sz w:val="21"/>
              <w:szCs w:val="21"/>
            </w:rPr>
            <w:t>W</w:t>
          </w:r>
          <w:r w:rsidR="002E1C96" w:rsidRPr="00370C25">
            <w:rPr>
              <w:sz w:val="21"/>
              <w:szCs w:val="21"/>
            </w:rPr>
            <w:t>H. The reason for this</w:t>
          </w:r>
          <w:r w:rsidR="00F50E41" w:rsidRPr="00370C25">
            <w:rPr>
              <w:sz w:val="21"/>
              <w:szCs w:val="21"/>
            </w:rPr>
            <w:t xml:space="preserve"> observation</w:t>
          </w:r>
          <w:r w:rsidR="002E1C96" w:rsidRPr="00370C25">
            <w:rPr>
              <w:sz w:val="21"/>
              <w:szCs w:val="21"/>
            </w:rPr>
            <w:t xml:space="preserve"> is that the historical viral load</w:t>
          </w:r>
          <w:r w:rsidR="00F24B24" w:rsidRPr="00370C25">
            <w:rPr>
              <w:sz w:val="21"/>
              <w:szCs w:val="21"/>
            </w:rPr>
            <w:t xml:space="preserve"> and</w:t>
          </w:r>
          <w:r w:rsidR="002E1C96" w:rsidRPr="00370C25">
            <w:rPr>
              <w:sz w:val="21"/>
              <w:szCs w:val="21"/>
            </w:rPr>
            <w:t xml:space="preserve"> nadir CD4</w:t>
          </w:r>
          <w:r w:rsidR="002E1C96" w:rsidRPr="00370C25">
            <w:rPr>
              <w:sz w:val="21"/>
              <w:szCs w:val="21"/>
              <w:vertAlign w:val="superscript"/>
            </w:rPr>
            <w:t>+</w:t>
          </w:r>
          <w:r w:rsidR="002E1C96" w:rsidRPr="00370C25">
            <w:rPr>
              <w:sz w:val="21"/>
              <w:szCs w:val="21"/>
            </w:rPr>
            <w:t xml:space="preserve"> T cell count leave a long-lasting imprint on immune dysregulation, as described</w:t>
          </w:r>
          <w:r w:rsidR="00F24B24" w:rsidRPr="00370C25">
            <w:rPr>
              <w:sz w:val="21"/>
              <w:szCs w:val="21"/>
            </w:rPr>
            <w:t xml:space="preserve"> in several studies</w:t>
          </w:r>
          <w:r w:rsidR="002E1C96" w:rsidRPr="00370C25">
            <w:rPr>
              <w:sz w:val="21"/>
              <w:szCs w:val="21"/>
            </w:rPr>
            <w:t xml:space="preserve">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{"citationItems":[{"id":"ITEM-1","itemData":{"DOI":"10.1016/s0140-6736(02)09411-4","ISSN":"0140-6736 (Print)","PMID":"12126821","abstract":"BACKGROUND: Insufficient data are available from single cohort studies to allow  estimation of the prognosis of HIV-1 infected, treatment-naive patients who start highly active antiretroviral therapy (HAART). The ART Cohort Collaboration, which includes 13 cohort studies from Europe and North America, was established to fill this knowledge gap. METHODS: We analysed data on 12,574 adult patients starting HAART with a combination of at least three drugs. Data were analysed by intention-to-continue-treatment, ignoring treatment changes and interruptions. We considered progression to a combined endpoint of a new AIDS-defining disease or death, and to death alone. The prognostic model that generalised best was a Weibull model, stratified by baseline CD4 cell count and transmission group. FINDINGS During 24,310 person-years of follow up, 1094 patients developed AIDS or died and 344 patients died. Baseline CD4 cell count was strongly associated with the probability of progression to AIDS or death: compared with patients starting HAART with less than 50 CD4 cells/microL, adjusted hazard ratios were 0.74 (95% CI 0.62-0.89) for 50-99 cells/microL, 0.52 (0.44-0.63) for 100-199 cells/microL, 0.24 (0.20-0.30) for 200-349 cells/microL, and 0.18 (0.14-0.22) for 350 or more CD4 cells/microL. Baseline HIV-1 viral load was associated with a higher probability of progression only if 100,000 copies/microL or above. Other independent predictors of poorer outcome were advanced age, infection through injection-drug use, and a previous diagnosis of AIDS. The probability of progression to AIDS or death at 3 years ranged from 3.4% (2.8-4.1) in patients in the lowest-risk stratum for each prognostic variable, to 50% (43-58) in patients in the highest-risk strata. INTERPRETATION: The CD4 cell count at initiation was the dominant prognostic factor in patients starting HAART. Our findings have important implications for clinical management and should be taken into account in future treatment guidelines.","author":[{"dropping-particle":"","family":"Egger","given":"Matthias","non-dropping-particle":"","parse-names":false,"suffix":""},{"dropping-particle":"","family":"May","given":"Margaret","non-dropping-particle":"","parse-names":false,"suffix":""},{"dropping-particle":"","family":"Chêne","given":"Geneviève","non-dropping-particle":"","parse-names":false,"suffix":""},{"dropping-particle":"","family":"Phillips","given":"Andrew N","non-dropping-particle":"","parse-names":false,"suffix":""},{"dropping-particle":"","family":"Ledergerber","given":"Bruno","non-dropping-particle":"","parse-names":false,"suffix":""},{"dropping-particle":"","family":"Dabis","given":"François","non-dropping-particle":"","parse-names":false,"suffix":""},{"dropping-particle":"","family":"Costagliola","given":"Dominique","non-dropping-particle":"","parse-names":false,"suffix":""},{"dropping-particle":"","family":"D'Arminio Monforte","given":"Antonella","non-dropping-particle":"","parse-names":false,"suffix":""},{"dropping-particle":"","family":"Wolf","given":"Frank","non-dropping-particle":"de","parse-names":false,"suffix":""},{"dropping-particle":"","family":"Reiss","given":"Peter","non-dropping-particle":"","parse-names":false,"suffix":""},{"dropping-particle":"","family":"Lundgren","given":"Jens D","non-dropping-particle":"","parse-names":false,"suffix":""},{"dropping-particle":"","family":"Justice","given":"Amy C","non-dropping-particle":"","parse-names":false,"suffix":""},{"dropping-particle":"","family":"Staszewski","given":"Schlomo","non-dropping-particle":"","parse-names":false,"suffix":""},{"dropping-particle":"","family":"Leport","given":"Catherine","non-dropping-particle":"","parse-names":false,"suffix":""},{"dropping-particle":"","family":"Hogg","given":"Robert S","non-dropping-particle":"","parse-names":false,"suffix":""},{"dropping-particle":"","family":"Sabin","given":"Caroline A","non-dropping-particle":"","parse-names":false,"suffix":""},{"dropping-particle":"","family":"Gill","given":"M John","non-dropping-particle":"","parse-names":false,"suffix":""},{"dropping-particle":"","family":"Salzberger","given":"Bernd","non-dropping-particle":"","parse-names":false,"suffix":""},{"dropping-particle":"","family":"Sterne","given":"Jonathan A C","non-dropping-particle":"","parse-names":false,"suffix":""}],"container-title":"Lancet (London, England)","id":"ITEM-1","issue":"9327","issued":{"date-parts":[["2002","7"]]},"language":"eng","page":"119-129","publisher-place":"England","title":"Prognosis of HIV-1-infected patients starting highly active antiretroviral  therapy: a collaborative analysis of prospective studies.","type":"article-journal","volume":"360"},"uris":["http://www.mendeley.com/documents/?uuid=9b15ee49-1fb1-4265-aff5-e5318fe564e2"]},{"id":"ITEM-2","itemData":{"DOI":"10.1001/jama.286.20.2568","ISSN":"0098-7484 (Print)","PMID":"11722271","abstract":"CONTEXT: Current recommendations for initiation of antiretroviral therapy in  patients infected with human immunodeficiency virus type 1 (HIV) are based on CD4 T-lymphocyte cell counts and plasma HIV RNA levels. The relative prognostic value of each marker following initiation of therapy has not been fully characterized. OBJECTIVE: To describe rates of disease progression to death and AIDS or death among patients starting triple-drug antiretroviral therapy, stratified by baseline CD4 cell count and HIV RNA levels. DESIGN, SETTING, AND PARTICIPANTS: Population-based analysis of 1219 antiretroviral therapy-naive HIV-positive men and women aged 18 years or older in British Columbia who initiated triple-drug therapy between August 1, 1996, and September 30, 1999. MAIN OUTCOME MEASURE: Cumulative mortality rates from the initiation of triple-drug antiretroviral therapy to September 30, 2000, determined using various CD4 cell and plasma HIV RNA thresholds. RESULTS: As of September 30, 2000, 82 patients had died of AIDS-related causes, for a crude AIDS-related mortality rate of 6.7%. The product limit estimate (SE) of the cumulative mortality rate at 12 months was 2.9% (0.5%). In univariate analyses, a prior diagnosis of acquired immunodeficiency syndrome (AIDS), CD4 cell count, use of protease inhibitors, and HIV RNA level were associated with mortality. There was no difference in mortality by age or sex. Only CD4 cell count remained statistically significant in the multivariate analysis. After controlling for AIDS, protease inhibitor use, and plasma HIV RNA level at baseline, patients with CD4 cell counts of less than 50/microL were 6.67 (95% confidence interval [CI], 3.61-12.34) times and those with counts of 50/microL to 199/microL were 3.41 (95% CI, 1.93-6.03) times more likely to die than those with counts of at least 200/microL. CONCLUSION: Our data demonstrate uniformly low rates of disease progression to death and AIDS or death among patients starting antiretroviral therapy with CD4 cell counts of at least 200/microL. In our study, disease progression to death and AIDS or death was clustered among patients starting therapy with CD4 cell counts less than 200/microL.","author":[{"dropping-particle":"","family":"Hogg","given":"R S","non-dropping-particle":"","parse-names":false,"suffix":""},{"dropping-particle":"","family":"Yip","given":"B","non-dropping-particle":"","parse-names":false,"suffix":""},{"dropping-particle":"","family":"Chan","given":"K J","non-dropping-particle":"","parse-names":false,"suffix":""},{"dropping-particle":"","family":"Wood","given":"E","non-dropping-particle":"","parse-names":false,"suffix":""},{"dropping-particle":"","family":"Craib","given":"K J","non-dropping-particle":"","parse-names":false,"suffix":""},{"dropping-particle":"V","family":"O'Shaughnessy","given":"M","non-dropping-particle":"","parse-names":false,"suffix":""},{"dropping-particle":"","family":"Montaner","given":"J S","non-dropping-particle":"","parse-names":false,"suffix":""}],"container-title":"JAMA","id":"ITEM-2","issue":"20","issued":{"date-parts":[["2001","11"]]},"language":"eng","page":"2568-2577","publisher-place":"United States","title":"Rates of disease progression by baseline CD4 cell count and viral load after  initiating triple-drug therapy.","type":"article-journal","volume":"286"},"uris":["http://www.mendeley.com/documents/?uuid=9bcd14e9-e367-4ef8-9ec1-980eda258251"]},{"id":"ITEM-3","itemData":{"DOI":"10.1097/01.aids.0000226951.49353.ed","ISSN":"0269-9370 (Print)","PMID":"16691062","abstract":"BACKGROUND: Baseline plasma HIV RNA levels &gt; 100 000 copies/ml have been  associated with elevated mortality rates after the initiation of HAART. There is uncertainty regarding the optimal strategy for patients with high plasma HIV RNA but CD4 cell count &gt; or = 200 cells/microl. OBJECTIVE: To evaluate the impact of baseline plasma HIV RNA on survival among patients with CD4 cell counts &gt; or = 200 cells/microl. METHODS: Patients were stratified by plasma HIV RNA, CD4 cell count and adherence level. Mortality rates were evaluated using Kaplan-Meier methods and Cox regression. RESULTS: Among 1166 patients initiating HAART with a CD4 cell count &gt; or = 200 cells/microl, a baseline HIV RNA &gt; or = 100 000 copies/ml was statistically associated with elevated mortality among non-adherent patients (log-rank P = 0.032), but not for adherent patients (log-rank P = 0.690). In a multivariate Cox model comparing patients with a baseline CD4 cell count &gt; or = 200 cells/microl and a baseline plasma HIV RNA &lt; 100 000 copies/ml, the mortality rate was statistically similar among patients with a baseline CD4 cell count &gt; or = 200 cells/microl and a baseline plasma HIV RNA &gt; or = 100 000 copies/ml (relative hazard, 1.21; 95% confidence interval, 0.89-1.65; P = 0.232). CONCLUSION: HIV RNA &gt; or = 100 000 copies/ml was only associated with mortality among HIV-infected patients initiating HAART with CD4 cell counts &gt; or= 200 cells/microl if the patients were non-adherent.","author":[{"dropping-particle":"","family":"Wood","given":"Evan","non-dropping-particle":"","parse-names":false,"suffix":""},{"dropping-particle":"","family":"Hogg","given":"Robert S","non-dropping-particle":"","parse-names":false,"suffix":""},{"dropping-particle":"","family":"Yip","given":"Benita","non-dropping-particle":"","parse-names":false,"suffix":""},{"dropping-particle":"","family":"Moore","given":"David","non-dropping-particle":"","parse-names":false,"suffix":""},{"dropping-particle":"","family":"Harrigan","given":"P Richard","non-dropping-particle":"","parse-names":false,"suffix":""},{"dropping-particle":"","family":"Montaner","given":"Julio S G","non-dropping-particle":"","parse-names":false,"suffix":""}],"container-title":"AIDS (London, England)","id":"ITEM-3","issue":"8","issued":{"date-parts":[["2006","5"]]},"language":"eng","page":"1117-1123","publisher-place":"England","title":"Impact of baseline viral load and adherence on survival of HIV-infected adults  with baseline CD4 cell counts &gt; or = 200 cells/microl.","type":"article-journal","volume":"20"},"uris":["http://www.mendeley.com/documents/?uuid=fb10f4d2-27f5-423c-bc5c-a41f9d705f14"]}],"mendeley":{"formattedCitation":"[9,11,51]","plainTextFormattedCitation":"[9,11,51]","previouslyFormattedCitation":"[9,11,50]"},"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bCs/>
              <w:noProof/>
              <w:sz w:val="21"/>
              <w:szCs w:val="21"/>
            </w:rPr>
            <w:t>[9,11,51]</w:t>
          </w:r>
          <w:r w:rsidR="004268A2" w:rsidRPr="00370C25">
            <w:rPr>
              <w:rStyle w:val="Rimandonotaapidipagina"/>
              <w:sz w:val="21"/>
              <w:szCs w:val="21"/>
            </w:rPr>
            <w:fldChar w:fldCharType="end"/>
          </w:r>
          <w:r w:rsidR="002E1C96" w:rsidRPr="00370C25">
            <w:rPr>
              <w:sz w:val="21"/>
              <w:szCs w:val="21"/>
            </w:rPr>
            <w:t>, and consequently on NGF levels even after viral suppression has been achieved. Conversely, BDNF showed no correlation with both zenith HIV-RNA and nadir CD4</w:t>
          </w:r>
          <w:r w:rsidR="002E1C96" w:rsidRPr="00370C25">
            <w:rPr>
              <w:sz w:val="21"/>
              <w:szCs w:val="21"/>
              <w:vertAlign w:val="superscript"/>
            </w:rPr>
            <w:t>+</w:t>
          </w:r>
          <w:r w:rsidR="002E1C96" w:rsidRPr="00370C25">
            <w:rPr>
              <w:sz w:val="21"/>
              <w:szCs w:val="21"/>
            </w:rPr>
            <w:t xml:space="preserve"> T cell count, probably due to the small sample size available for this sub-analysis. Indeed, a previous study reported that PLWH with a history of AIDS diagnosis showed significantly lower serum BDNF levels than non-AIDS individuals </w:t>
          </w:r>
          <w:r w:rsidR="004268A2" w:rsidRPr="00370C25">
            <w:rPr>
              <w:rStyle w:val="Rimandonotaapidipagina"/>
              <w:sz w:val="21"/>
              <w:szCs w:val="21"/>
            </w:rPr>
            <w:fldChar w:fldCharType="begin" w:fldLock="1"/>
          </w:r>
          <w:r w:rsidR="001A3285" w:rsidRPr="00370C25">
            <w:rPr>
              <w:sz w:val="21"/>
              <w:szCs w:val="21"/>
            </w:rPr>
            <w:instrText>ADDIN CSL_CITATION {"citationItems":[{"id":"ITEM-1","itemData":{"DOI":"10.1177/10998004241296466","ISSN":"1552-4175 (Electronic)","PMID":"39466720","abstract":"Background: People with HIV (PWH) are at risk of developing HIV-associated  neurocognitive disorder (HAND) despite receiving combination antiretroviral therapy. Brain-derived neurotrophic factor (BDNF) has been implicated in cognitive function and neuroplasticity, but its role in HIV-related neuroinflammation remains understudied. Methods: This study analyzed data from the CHAMPS study, assessing BDNF serum levels and cognitive function in 140 adults with HIV at baseline. Cognitive function was evaluated using the PROMIS Applied Cognition-Abilities 8-item questionnaire. BDNF levels (pg/ml) were measured using high sensitivity Enzyme-Linked Immunoassay (ELISA) kits. Linear regression analyses were conducted to explore the associations between BDNF levels, cognitive function, and AIDS diagnosis, adjusting for demographic variables. Results: A significant positive association was found between BDNF levels and cognitive function scores in PWH (p = .03). Additionally, PWH with a history of AIDS diagnosis showed significantly lower BDNF levels (p = .02). Other demographic factors did not significantly impact cognitive function or BDNF levels in this cohort. Conclusions: Our results highlight the potential of BDNF as a biomarker for cognitive decline in PWH and suggest its relevance in understanding HAND pathophysiology. Further research is warranted to explore the multifaceted interactions influencing cognitive outcomes in this population and to develop targeted interventions for improving cognitive health in PWH.","author":[{"dropping-particle":"","family":"Belloir","given":"Joseph A","non-dropping-particle":"","parse-names":false,"suffix":""},{"dropping-particle":"","family":"Myers","given":"Thomas","non-dropping-particle":"","parse-names":false,"suffix":""},{"dropping-particle":"","family":"Batey","given":"Scott","non-dropping-particle":"","parse-names":false,"suffix":""},{"dropping-particle":"","family":"Schnall","given":"Rebecca","non-dropping-particle":"","parse-names":false,"suffix":""}],"container-title":"Biological research for nursing","id":"ITEM-1","issue":"2","issued":{"date-parts":[["2025","4"]]},"language":"eng","page":"255-260","publisher-place":"United States","title":"Brain-Derived Neurotrophic Factor (BDNF) is Associated with Self-Reported  Cognitive Function in Adults with HIV.","type":"article-journal","volume":"27"},"uris":["http://www.mendeley.com/documents/?uuid=74ddab52-d08f-4ca9-ad0f-5625fa9775ac"]}],"mendeley":{"formattedCitation":"[30]","plainTextFormattedCitation":"[30]","previouslyFormattedCitation":"[29]"},"properties":{"noteIndex":0},"schema":"https://github.com/citation-style-language/schema/raw/master/csl-citation.json"}</w:instrText>
          </w:r>
          <w:r w:rsidR="004268A2" w:rsidRPr="00370C25">
            <w:rPr>
              <w:rStyle w:val="Rimandonotaapidipagina"/>
              <w:sz w:val="21"/>
              <w:szCs w:val="21"/>
            </w:rPr>
            <w:fldChar w:fldCharType="separate"/>
          </w:r>
          <w:r w:rsidR="001A3285" w:rsidRPr="00370C25">
            <w:rPr>
              <w:noProof/>
              <w:sz w:val="21"/>
              <w:szCs w:val="21"/>
            </w:rPr>
            <w:t>[30]</w:t>
          </w:r>
          <w:r w:rsidR="004268A2" w:rsidRPr="00370C25">
            <w:rPr>
              <w:rStyle w:val="Rimandonotaapidipagina"/>
              <w:sz w:val="21"/>
              <w:szCs w:val="21"/>
            </w:rPr>
            <w:fldChar w:fldCharType="end"/>
          </w:r>
          <w:r w:rsidR="002E1C96" w:rsidRPr="00370C25">
            <w:rPr>
              <w:sz w:val="21"/>
              <w:szCs w:val="21"/>
            </w:rPr>
            <w:t xml:space="preserve">. The lack of correlation between neurotrophins and ART exposure time seems to indicate that what matters is not necessarily the duration of therapy itself, but rather the immune status. </w:t>
          </w:r>
          <w:r w:rsidR="00F057A9" w:rsidRPr="00370C25">
            <w:rPr>
              <w:sz w:val="21"/>
              <w:szCs w:val="21"/>
            </w:rPr>
            <w:t xml:space="preserve">Moreover, the heterogeneity of antiretroviral regimens reflects a real-world clinical scenario and, alongside the lack of correlation between </w:t>
          </w:r>
          <w:proofErr w:type="spellStart"/>
          <w:r w:rsidR="00F057A9" w:rsidRPr="00370C25">
            <w:rPr>
              <w:sz w:val="21"/>
              <w:szCs w:val="21"/>
            </w:rPr>
            <w:t>neurotrophin</w:t>
          </w:r>
          <w:proofErr w:type="spellEnd"/>
          <w:r w:rsidR="00F057A9" w:rsidRPr="00370C25">
            <w:rPr>
              <w:sz w:val="21"/>
              <w:szCs w:val="21"/>
            </w:rPr>
            <w:t xml:space="preserve"> levels and ART exposure time, suggests that immune status rather than specific drug classes is the primary driver of the observed </w:t>
          </w:r>
          <w:proofErr w:type="spellStart"/>
          <w:r w:rsidR="00F057A9" w:rsidRPr="00370C25">
            <w:rPr>
              <w:sz w:val="21"/>
              <w:szCs w:val="21"/>
            </w:rPr>
            <w:t>neurotrophin</w:t>
          </w:r>
          <w:proofErr w:type="spellEnd"/>
          <w:r w:rsidR="00F057A9" w:rsidRPr="00370C25">
            <w:rPr>
              <w:sz w:val="21"/>
              <w:szCs w:val="21"/>
            </w:rPr>
            <w:t xml:space="preserve"> patterns.</w:t>
          </w:r>
        </w:sdtContent>
      </w:sdt>
    </w:p>
    <w:p w14:paraId="5B15E07A" w14:textId="6810AAAE" w:rsidR="00706AE1" w:rsidRPr="00370C25" w:rsidRDefault="00706AE1" w:rsidP="00706AE1">
      <w:pPr>
        <w:pStyle w:val="06-Heading-1"/>
        <w:spacing w:before="0"/>
        <w:rPr>
          <w:color w:val="333333"/>
          <w:lang w:eastAsia="en-US"/>
        </w:rPr>
      </w:pPr>
      <w:r w:rsidRPr="00370C25">
        <w:rPr>
          <w:bCs/>
          <w:color w:val="333333"/>
          <w:lang w:eastAsia="en-US"/>
        </w:rPr>
        <w:t>6. CONCLUSION</w:t>
      </w:r>
    </w:p>
    <w:p w14:paraId="105F44BC" w14:textId="196566F9" w:rsidR="00706AE1" w:rsidRPr="00370C25" w:rsidRDefault="00706AE1" w:rsidP="00706AE1">
      <w:pPr>
        <w:pStyle w:val="05-ArticleText"/>
        <w:spacing w:after="240"/>
        <w:rPr>
          <w:color w:val="A6A6A6"/>
          <w:sz w:val="21"/>
          <w:szCs w:val="21"/>
          <w:lang w:eastAsia="en-US"/>
        </w:rPr>
      </w:pPr>
      <w:r w:rsidRPr="00370C25">
        <w:rPr>
          <w:color w:val="A6A6A6"/>
          <w:sz w:val="21"/>
          <w:szCs w:val="21"/>
          <w:lang w:eastAsia="en-US"/>
        </w:rPr>
        <w:tab/>
      </w:r>
      <w:sdt>
        <w:sdtPr>
          <w:rPr>
            <w:color w:val="A6A6A6"/>
            <w:sz w:val="21"/>
            <w:szCs w:val="21"/>
            <w:lang w:eastAsia="en-US"/>
          </w:rPr>
          <w:id w:val="2032452958"/>
          <w:placeholder>
            <w:docPart w:val="DE72A0BE8DE44C778DABC3A3AACF7A43"/>
          </w:placeholder>
        </w:sdtPr>
        <w:sdtContent>
          <w:r w:rsidRPr="00370C25">
            <w:rPr>
              <w:sz w:val="21"/>
              <w:szCs w:val="21"/>
            </w:rPr>
            <w:t xml:space="preserve">Overall, our results highlight the distinct </w:t>
          </w:r>
          <w:proofErr w:type="spellStart"/>
          <w:r w:rsidRPr="00370C25">
            <w:rPr>
              <w:sz w:val="21"/>
              <w:szCs w:val="21"/>
            </w:rPr>
            <w:t>neurotrophin</w:t>
          </w:r>
          <w:proofErr w:type="spellEnd"/>
          <w:r w:rsidRPr="00370C25">
            <w:rPr>
              <w:sz w:val="21"/>
              <w:szCs w:val="21"/>
            </w:rPr>
            <w:t xml:space="preserve"> signature in untreated HIV infection and the strong relationship of BDNF and NGF with current or historical immune status. These outcomes support the need to further explore neurotrophins as potential biomarkers of neuroimmune dysfunction and cognitive risk in PLWH and reiterate the issue that early and prolonged ART has a pivotal role in preventing the onset of secondary disorders.</w:t>
          </w:r>
        </w:sdtContent>
      </w:sdt>
    </w:p>
    <w:p w14:paraId="07AF65F6" w14:textId="2089F56E" w:rsidR="00706AE1" w:rsidRPr="00370C25" w:rsidRDefault="00706AE1" w:rsidP="00706AE1">
      <w:pPr>
        <w:pStyle w:val="06-Heading-1"/>
        <w:spacing w:before="0"/>
        <w:rPr>
          <w:color w:val="333333"/>
          <w:lang w:eastAsia="en-US"/>
        </w:rPr>
      </w:pPr>
      <w:r w:rsidRPr="00370C25">
        <w:rPr>
          <w:bCs/>
          <w:color w:val="333333"/>
          <w:lang w:eastAsia="en-US"/>
        </w:rPr>
        <w:t>STUDY LIMITATIONS</w:t>
      </w:r>
    </w:p>
    <w:p w14:paraId="01B86B58" w14:textId="1D8A9858" w:rsidR="009A4041" w:rsidRPr="00370C25" w:rsidRDefault="00706AE1" w:rsidP="00706AE1">
      <w:pPr>
        <w:pStyle w:val="05-ArticleText"/>
        <w:spacing w:after="240"/>
        <w:rPr>
          <w:color w:val="A6A6A6"/>
          <w:sz w:val="21"/>
          <w:szCs w:val="21"/>
          <w:lang w:eastAsia="en-US"/>
        </w:rPr>
      </w:pPr>
      <w:r w:rsidRPr="00370C25">
        <w:rPr>
          <w:color w:val="A6A6A6"/>
          <w:sz w:val="21"/>
          <w:szCs w:val="21"/>
          <w:lang w:eastAsia="en-US"/>
        </w:rPr>
        <w:tab/>
      </w:r>
      <w:sdt>
        <w:sdtPr>
          <w:rPr>
            <w:color w:val="A6A6A6"/>
            <w:sz w:val="21"/>
            <w:szCs w:val="21"/>
            <w:lang w:eastAsia="en-US"/>
          </w:rPr>
          <w:id w:val="2090499237"/>
          <w:placeholder>
            <w:docPart w:val="85B2CA061240473D861D7DBF78A4CA74"/>
          </w:placeholder>
        </w:sdtPr>
        <w:sdtContent>
          <w:r w:rsidRPr="00370C25">
            <w:rPr>
              <w:sz w:val="21"/>
              <w:szCs w:val="21"/>
            </w:rPr>
            <w:t xml:space="preserve">This study has some limitations, including the relatively small sample size, the cross-sectional design and the lack of cognitive assessments that directly link </w:t>
          </w:r>
          <w:proofErr w:type="spellStart"/>
          <w:r w:rsidRPr="00370C25">
            <w:rPr>
              <w:sz w:val="21"/>
              <w:szCs w:val="21"/>
            </w:rPr>
            <w:t>neurotrophin</w:t>
          </w:r>
          <w:proofErr w:type="spellEnd"/>
          <w:r w:rsidRPr="00370C25">
            <w:rPr>
              <w:sz w:val="21"/>
              <w:szCs w:val="21"/>
            </w:rPr>
            <w:t xml:space="preserve"> levels to clinical outcomes. Although formal neurocognitive testing was not included, the present work focuses on the identification of peripheral neuroimmune biomarkers that may precede or predict clinical manifestations, rather than on the diagnosis of HAND per se. </w:t>
          </w:r>
          <w:r w:rsidR="005A6D81" w:rsidRPr="00370C25">
            <w:rPr>
              <w:sz w:val="21"/>
              <w:szCs w:val="21"/>
            </w:rPr>
            <w:t xml:space="preserve">No data </w:t>
          </w:r>
          <w:proofErr w:type="gramStart"/>
          <w:r w:rsidR="00552CBA" w:rsidRPr="00370C25">
            <w:rPr>
              <w:sz w:val="21"/>
              <w:szCs w:val="21"/>
            </w:rPr>
            <w:t>w</w:t>
          </w:r>
          <w:r w:rsidR="00C0460F" w:rsidRPr="00370C25">
            <w:rPr>
              <w:sz w:val="21"/>
              <w:szCs w:val="21"/>
            </w:rPr>
            <w:t>ere</w:t>
          </w:r>
          <w:proofErr w:type="gramEnd"/>
          <w:r w:rsidR="005A6D81" w:rsidRPr="00370C25">
            <w:rPr>
              <w:sz w:val="21"/>
              <w:szCs w:val="21"/>
            </w:rPr>
            <w:t xml:space="preserve"> available regarding smoking status, alcohol and substance use. </w:t>
          </w:r>
          <w:r w:rsidRPr="00370C25">
            <w:rPr>
              <w:sz w:val="21"/>
              <w:szCs w:val="21"/>
            </w:rPr>
            <w:t>However, the careful matching of the control groups, alongside separate analyses of ART-</w:t>
          </w:r>
          <w:proofErr w:type="gramStart"/>
          <w:r w:rsidRPr="00370C25">
            <w:rPr>
              <w:sz w:val="21"/>
              <w:szCs w:val="21"/>
            </w:rPr>
            <w:t>naïve</w:t>
          </w:r>
          <w:proofErr w:type="gramEnd"/>
          <w:r w:rsidRPr="00370C25">
            <w:rPr>
              <w:sz w:val="21"/>
              <w:szCs w:val="21"/>
            </w:rPr>
            <w:t xml:space="preserve"> and ART-treated PLWH reinforce the strength and validity of these findings.</w:t>
          </w:r>
        </w:sdtContent>
      </w:sdt>
    </w:p>
    <w:p w14:paraId="3A4CDD9D" w14:textId="4BD6EBE4" w:rsidR="00F06B9E" w:rsidRPr="00370C25" w:rsidRDefault="00F06B9E" w:rsidP="00F06B9E">
      <w:pPr>
        <w:pStyle w:val="05-ArticleText"/>
        <w:rPr>
          <w:b/>
          <w:bCs/>
          <w:color w:val="000000" w:themeColor="text1"/>
          <w:lang w:eastAsia="en-US"/>
        </w:rPr>
      </w:pPr>
      <w:r w:rsidRPr="00370C25">
        <w:rPr>
          <w:b/>
          <w:bCs/>
          <w:color w:val="000000" w:themeColor="text1"/>
          <w:lang w:eastAsia="en-US"/>
        </w:rPr>
        <w:t>LIST OF ABBREVIATIONS</w:t>
      </w:r>
    </w:p>
    <w:sdt>
      <w:sdtPr>
        <w:rPr>
          <w:color w:val="000000" w:themeColor="text1"/>
        </w:rPr>
        <w:id w:val="-1068410225"/>
        <w:placeholder>
          <w:docPart w:val="E8A2C98C18CE431C94FDA3705F08DE0F"/>
        </w:placeholder>
      </w:sdtPr>
      <w:sdtContent>
        <w:p w14:paraId="31DE9712" w14:textId="38042D4B" w:rsidR="00F06B9E" w:rsidRPr="00370C25" w:rsidRDefault="001F319B" w:rsidP="00F06B9E">
          <w:pPr>
            <w:pStyle w:val="05-ArticleText"/>
            <w:ind w:firstLine="284"/>
            <w:rPr>
              <w:bCs/>
              <w:color w:val="000000" w:themeColor="text1"/>
            </w:rPr>
          </w:pPr>
          <w:r w:rsidRPr="00370C25">
            <w:rPr>
              <w:color w:val="000000" w:themeColor="text1"/>
            </w:rPr>
            <w:t>HIV: Human Immunodeficiency Virus; PLWH: people living with HIV; ART: antiretroviral therapy</w:t>
          </w:r>
          <w:r w:rsidRPr="00370C25">
            <w:rPr>
              <w:bCs/>
              <w:color w:val="000000" w:themeColor="text1"/>
            </w:rPr>
            <w:t xml:space="preserve">; SNAEs: </w:t>
          </w:r>
          <w:r w:rsidRPr="00370C25">
            <w:rPr>
              <w:sz w:val="21"/>
              <w:szCs w:val="21"/>
            </w:rPr>
            <w:t>serious non-AIDS events; HAND: HIV-associated neurocognitive disorders; NGF: nerve growth factor; BDNF: brain-derived neurotrophic factor; COVID-19: coronavirus disease 2019; PAC</w:t>
          </w:r>
          <w:r w:rsidR="00C0460F" w:rsidRPr="00370C25">
            <w:rPr>
              <w:sz w:val="21"/>
              <w:szCs w:val="21"/>
            </w:rPr>
            <w:t>S</w:t>
          </w:r>
          <w:r w:rsidRPr="00370C25">
            <w:rPr>
              <w:sz w:val="21"/>
              <w:szCs w:val="21"/>
            </w:rPr>
            <w:t>: post-acute COVID-19 syndrome; ELISA: enzyme-</w:t>
          </w:r>
          <w:r w:rsidRPr="00370C25">
            <w:rPr>
              <w:sz w:val="21"/>
              <w:szCs w:val="21"/>
            </w:rPr>
            <w:lastRenderedPageBreak/>
            <w:t xml:space="preserve">linked immunosorbent assay; </w:t>
          </w:r>
          <w:r w:rsidR="00C53311" w:rsidRPr="00370C25">
            <w:rPr>
              <w:sz w:val="21"/>
              <w:szCs w:val="21"/>
            </w:rPr>
            <w:t>TrkA: Tropomyosin receptor kinase A; HHV-8: human herpesvirus 8.</w:t>
          </w:r>
        </w:p>
      </w:sdtContent>
    </w:sdt>
    <w:p w14:paraId="0D62B274" w14:textId="75141574" w:rsidR="00917031" w:rsidRPr="00370C25" w:rsidRDefault="00917031" w:rsidP="002E1C96">
      <w:pPr>
        <w:pStyle w:val="05-ArticleText"/>
        <w:rPr>
          <w:b/>
          <w:bCs/>
          <w:color w:val="000000" w:themeColor="text1"/>
          <w:lang w:eastAsia="en-US"/>
        </w:rPr>
      </w:pPr>
      <w:r w:rsidRPr="00370C25">
        <w:rPr>
          <w:b/>
          <w:bCs/>
          <w:color w:val="000000" w:themeColor="text1"/>
          <w:lang w:eastAsia="en-US"/>
        </w:rPr>
        <w:t>AUTHOR CONTRIBUTIONS</w:t>
      </w:r>
    </w:p>
    <w:sdt>
      <w:sdtPr>
        <w:rPr>
          <w:color w:val="000000" w:themeColor="text1"/>
        </w:rPr>
        <w:id w:val="238524300"/>
        <w:placeholder>
          <w:docPart w:val="27467D67A75E48C4ADBB383DE466CC83"/>
        </w:placeholder>
      </w:sdtPr>
      <w:sdtContent>
        <w:p w14:paraId="6788BCB0" w14:textId="2C80D192" w:rsidR="006E2290" w:rsidRPr="00370C25" w:rsidRDefault="00917031" w:rsidP="0009277F">
          <w:pPr>
            <w:pStyle w:val="05-ArticleText"/>
            <w:ind w:firstLine="284"/>
            <w:rPr>
              <w:bCs/>
              <w:color w:val="000000" w:themeColor="text1"/>
            </w:rPr>
          </w:pPr>
          <w:r w:rsidRPr="00370C25">
            <w:rPr>
              <w:color w:val="000000" w:themeColor="text1"/>
            </w:rPr>
            <w:t xml:space="preserve">Conceptualization: L.M., </w:t>
          </w:r>
          <w:proofErr w:type="spellStart"/>
          <w:proofErr w:type="gramStart"/>
          <w:r w:rsidRPr="00370C25">
            <w:rPr>
              <w:color w:val="000000" w:themeColor="text1"/>
            </w:rPr>
            <w:t>G.d’E</w:t>
          </w:r>
          <w:proofErr w:type="spellEnd"/>
          <w:proofErr w:type="gramEnd"/>
          <w:r w:rsidRPr="00370C25">
            <w:rPr>
              <w:color w:val="000000" w:themeColor="text1"/>
            </w:rPr>
            <w:t xml:space="preserve">. and M.F.; </w:t>
          </w:r>
          <w:r w:rsidR="006E2290" w:rsidRPr="00370C25">
            <w:rPr>
              <w:color w:val="000000" w:themeColor="text1"/>
            </w:rPr>
            <w:t>Resources: M.R., G.F. and G.C.</w:t>
          </w:r>
          <w:r w:rsidRPr="00370C25">
            <w:rPr>
              <w:color w:val="000000" w:themeColor="text1"/>
            </w:rPr>
            <w:t xml:space="preserve">; </w:t>
          </w:r>
          <w:r w:rsidR="006E2290" w:rsidRPr="00370C25">
            <w:rPr>
              <w:color w:val="000000" w:themeColor="text1"/>
            </w:rPr>
            <w:t>Methodology: L.M., P.R., E.F., L.S. and C.F.; Formal Analysis: L.M.</w:t>
          </w:r>
          <w:r w:rsidR="0009277F" w:rsidRPr="00370C25">
            <w:rPr>
              <w:color w:val="000000" w:themeColor="text1"/>
            </w:rPr>
            <w:t>, L.S. and C.F.</w:t>
          </w:r>
          <w:r w:rsidR="006E2290" w:rsidRPr="00370C25">
            <w:rPr>
              <w:color w:val="000000" w:themeColor="text1"/>
            </w:rPr>
            <w:t xml:space="preserve">; Supervision: C.M.M., G.A., C.S., </w:t>
          </w:r>
          <w:proofErr w:type="spellStart"/>
          <w:proofErr w:type="gramStart"/>
          <w:r w:rsidR="006E2290" w:rsidRPr="00370C25">
            <w:rPr>
              <w:color w:val="000000" w:themeColor="text1"/>
            </w:rPr>
            <w:t>G.d’E</w:t>
          </w:r>
          <w:proofErr w:type="spellEnd"/>
          <w:proofErr w:type="gramEnd"/>
          <w:r w:rsidR="006E2290" w:rsidRPr="00370C25">
            <w:rPr>
              <w:color w:val="000000" w:themeColor="text1"/>
            </w:rPr>
            <w:t xml:space="preserve">. and M.F.; Validation: C.M.M., G.A., C.S., </w:t>
          </w:r>
          <w:proofErr w:type="spellStart"/>
          <w:proofErr w:type="gramStart"/>
          <w:r w:rsidR="006E2290" w:rsidRPr="00370C25">
            <w:rPr>
              <w:color w:val="000000" w:themeColor="text1"/>
            </w:rPr>
            <w:t>G.d’E</w:t>
          </w:r>
          <w:proofErr w:type="spellEnd"/>
          <w:proofErr w:type="gramEnd"/>
          <w:r w:rsidR="006E2290" w:rsidRPr="00370C25">
            <w:rPr>
              <w:color w:val="000000" w:themeColor="text1"/>
            </w:rPr>
            <w:t xml:space="preserve">. and M.F.; </w:t>
          </w:r>
          <w:r w:rsidR="0009277F" w:rsidRPr="00370C25">
            <w:rPr>
              <w:color w:val="000000" w:themeColor="text1"/>
            </w:rPr>
            <w:t xml:space="preserve">Funding acquisition: L.M.; Project administration: </w:t>
          </w:r>
          <w:proofErr w:type="spellStart"/>
          <w:proofErr w:type="gramStart"/>
          <w:r w:rsidR="0009277F" w:rsidRPr="00370C25">
            <w:rPr>
              <w:color w:val="000000" w:themeColor="text1"/>
            </w:rPr>
            <w:t>G.d’E</w:t>
          </w:r>
          <w:proofErr w:type="spellEnd"/>
          <w:proofErr w:type="gramEnd"/>
          <w:r w:rsidR="0009277F" w:rsidRPr="00370C25">
            <w:rPr>
              <w:color w:val="000000" w:themeColor="text1"/>
            </w:rPr>
            <w:t xml:space="preserve">. and M.F.; </w:t>
          </w:r>
          <w:r w:rsidR="006E2290" w:rsidRPr="00370C25">
            <w:rPr>
              <w:color w:val="000000" w:themeColor="text1"/>
            </w:rPr>
            <w:t>W</w:t>
          </w:r>
          <w:r w:rsidRPr="00370C25">
            <w:rPr>
              <w:color w:val="000000" w:themeColor="text1"/>
            </w:rPr>
            <w:t>riting—original draft preparation</w:t>
          </w:r>
          <w:r w:rsidR="006E2290" w:rsidRPr="00370C25">
            <w:rPr>
              <w:color w:val="000000" w:themeColor="text1"/>
            </w:rPr>
            <w:t>:</w:t>
          </w:r>
          <w:r w:rsidRPr="00370C25">
            <w:rPr>
              <w:color w:val="000000" w:themeColor="text1"/>
            </w:rPr>
            <w:t xml:space="preserve"> L.M.</w:t>
          </w:r>
          <w:r w:rsidR="006E2290" w:rsidRPr="00370C25">
            <w:rPr>
              <w:color w:val="000000" w:themeColor="text1"/>
            </w:rPr>
            <w:t xml:space="preserve"> and M.F.;</w:t>
          </w:r>
          <w:r w:rsidRPr="00370C25">
            <w:rPr>
              <w:color w:val="000000" w:themeColor="text1"/>
            </w:rPr>
            <w:t xml:space="preserve"> Writing – review &amp; editing</w:t>
          </w:r>
          <w:r w:rsidR="006E2290" w:rsidRPr="00370C25">
            <w:rPr>
              <w:color w:val="000000" w:themeColor="text1"/>
            </w:rPr>
            <w:t xml:space="preserve">: L.M., </w:t>
          </w:r>
          <w:r w:rsidR="004309D6" w:rsidRPr="00370C25">
            <w:rPr>
              <w:color w:val="000000" w:themeColor="text1"/>
            </w:rPr>
            <w:t xml:space="preserve">C.S., </w:t>
          </w:r>
          <w:proofErr w:type="spellStart"/>
          <w:proofErr w:type="gramStart"/>
          <w:r w:rsidR="006E2290" w:rsidRPr="00370C25">
            <w:rPr>
              <w:color w:val="000000" w:themeColor="text1"/>
            </w:rPr>
            <w:t>G.d’E</w:t>
          </w:r>
          <w:proofErr w:type="spellEnd"/>
          <w:proofErr w:type="gramEnd"/>
          <w:r w:rsidR="006E2290" w:rsidRPr="00370C25">
            <w:rPr>
              <w:color w:val="000000" w:themeColor="text1"/>
            </w:rPr>
            <w:t>. and M.F</w:t>
          </w:r>
          <w:r w:rsidR="0009277F" w:rsidRPr="00370C25">
            <w:rPr>
              <w:color w:val="000000" w:themeColor="text1"/>
            </w:rPr>
            <w:t xml:space="preserve">. </w:t>
          </w:r>
          <w:r w:rsidR="006E2290" w:rsidRPr="00370C25">
            <w:rPr>
              <w:color w:val="000000" w:themeColor="text1"/>
            </w:rPr>
            <w:t>All authors critically reviewed the manuscript and gave consent for publication</w:t>
          </w:r>
          <w:r w:rsidR="006E2290" w:rsidRPr="00370C25">
            <w:rPr>
              <w:bCs/>
              <w:color w:val="000000" w:themeColor="text1"/>
            </w:rPr>
            <w:t xml:space="preserve"> </w:t>
          </w:r>
        </w:p>
      </w:sdtContent>
    </w:sdt>
    <w:p w14:paraId="60408A46" w14:textId="2D691815" w:rsidR="00C33410" w:rsidRPr="00370C25" w:rsidRDefault="00C33410" w:rsidP="00C33410">
      <w:pPr>
        <w:pStyle w:val="06-Heading-1"/>
        <w:spacing w:before="0"/>
        <w:rPr>
          <w:bCs/>
        </w:rPr>
      </w:pPr>
      <w:r w:rsidRPr="00370C25">
        <w:rPr>
          <w:bCs/>
        </w:rPr>
        <w:t>ETHICS APPROVAL AND CONSENT TO PARTICIPATE</w:t>
      </w:r>
    </w:p>
    <w:p w14:paraId="72D0A489" w14:textId="57329EEE" w:rsidR="00347B42" w:rsidRPr="00370C25" w:rsidRDefault="00C33410" w:rsidP="00347B42">
      <w:pPr>
        <w:pStyle w:val="05-ArticleText"/>
        <w:rPr>
          <w:color w:val="A6A6A6"/>
          <w:lang w:eastAsia="en-US"/>
        </w:rPr>
      </w:pPr>
      <w:r w:rsidRPr="00370C25">
        <w:rPr>
          <w:color w:val="A6A6A6"/>
        </w:rPr>
        <w:tab/>
      </w:r>
      <w:sdt>
        <w:sdtPr>
          <w:rPr>
            <w:color w:val="A6A6A6"/>
          </w:rPr>
          <w:id w:val="-631945386"/>
          <w:placeholder>
            <w:docPart w:val="019157AFF52341DE87803E234BC4BA9B"/>
          </w:placeholder>
        </w:sdtPr>
        <w:sdtContent>
          <w:r w:rsidR="00600EBB" w:rsidRPr="00370C25">
            <w:rPr>
              <w:sz w:val="21"/>
              <w:szCs w:val="21"/>
            </w:rPr>
            <w:t>The study was performed following the Institutional Review Board (Department of Public Health and Infectious Diseases, Sapienza, University of Rome) and the Ethics Committee (Sapienza, University of Rome) approval and the signing of informed consent by all study participants</w:t>
          </w:r>
          <w:r w:rsidR="00A55877" w:rsidRPr="00370C25">
            <w:rPr>
              <w:sz w:val="21"/>
              <w:szCs w:val="21"/>
            </w:rPr>
            <w:t xml:space="preserve"> (Rif. 6594, Prot. 0586/2024).</w:t>
          </w:r>
          <w:r w:rsidR="00600EBB" w:rsidRPr="00370C25">
            <w:rPr>
              <w:sz w:val="21"/>
              <w:szCs w:val="21"/>
            </w:rPr>
            <w:t xml:space="preserve"> </w:t>
          </w:r>
        </w:sdtContent>
      </w:sdt>
    </w:p>
    <w:p w14:paraId="66BADE5F" w14:textId="7A195D7D" w:rsidR="00C33410" w:rsidRPr="00370C25" w:rsidRDefault="00C33410" w:rsidP="002D6E6B">
      <w:pPr>
        <w:autoSpaceDE w:val="0"/>
        <w:autoSpaceDN w:val="0"/>
        <w:adjustRightInd w:val="0"/>
        <w:spacing w:after="120"/>
        <w:rPr>
          <w:b/>
          <w:bCs/>
          <w:sz w:val="20"/>
          <w:szCs w:val="20"/>
        </w:rPr>
      </w:pPr>
      <w:r w:rsidRPr="00370C25">
        <w:rPr>
          <w:b/>
          <w:bCs/>
          <w:sz w:val="20"/>
          <w:szCs w:val="20"/>
        </w:rPr>
        <w:t>HUMAN AND ANIMAL RIGHTS</w:t>
      </w:r>
    </w:p>
    <w:p w14:paraId="29F1C6FE" w14:textId="09673BB7" w:rsidR="00C33410" w:rsidRPr="00370C25" w:rsidRDefault="00C33410" w:rsidP="00C33410">
      <w:pPr>
        <w:pStyle w:val="05-ArticleText"/>
        <w:rPr>
          <w:color w:val="000000" w:themeColor="text1"/>
        </w:rPr>
      </w:pPr>
      <w:r w:rsidRPr="00370C25">
        <w:rPr>
          <w:color w:val="000000" w:themeColor="text1"/>
        </w:rPr>
        <w:tab/>
      </w:r>
      <w:sdt>
        <w:sdtPr>
          <w:rPr>
            <w:color w:val="000000" w:themeColor="text1"/>
          </w:rPr>
          <w:id w:val="-1396040837"/>
          <w:placeholder>
            <w:docPart w:val="743643C9A7FC48B382F5FC2A64531DDC"/>
          </w:placeholder>
        </w:sdtPr>
        <w:sdtContent>
          <w:sdt>
            <w:sdtPr>
              <w:rPr>
                <w:color w:val="000000" w:themeColor="text1"/>
              </w:rPr>
              <w:id w:val="1435173286"/>
              <w:placeholder>
                <w:docPart w:val="8FCA0456AACB47908839BC4E91062149"/>
              </w:placeholder>
            </w:sdtPr>
            <w:sdtContent>
              <w:sdt>
                <w:sdtPr>
                  <w:rPr>
                    <w:color w:val="000000" w:themeColor="text1"/>
                  </w:rPr>
                  <w:id w:val="1207065225"/>
                  <w:placeholder>
                    <w:docPart w:val="DAE0A399AEDC44CC9EB6637DDB56B8A1"/>
                  </w:placeholder>
                </w:sdtPr>
                <w:sdtContent>
                  <w:r w:rsidR="002D6E6B" w:rsidRPr="00370C25">
                    <w:rPr>
                      <w:color w:val="000000" w:themeColor="text1"/>
                    </w:rPr>
                    <w:t xml:space="preserve">All experimental procedures were performed according to the Declaration of Helsinki principles. </w:t>
                  </w:r>
                </w:sdtContent>
              </w:sdt>
            </w:sdtContent>
          </w:sdt>
        </w:sdtContent>
      </w:sdt>
      <w:r w:rsidRPr="00370C25">
        <w:rPr>
          <w:color w:val="000000" w:themeColor="text1"/>
        </w:rPr>
        <w:t xml:space="preserve"> </w:t>
      </w:r>
    </w:p>
    <w:p w14:paraId="169CC25B" w14:textId="602AB606" w:rsidR="00917031" w:rsidRPr="00370C25" w:rsidRDefault="00917031" w:rsidP="00917031">
      <w:pPr>
        <w:autoSpaceDE w:val="0"/>
        <w:autoSpaceDN w:val="0"/>
        <w:adjustRightInd w:val="0"/>
        <w:spacing w:after="120"/>
        <w:rPr>
          <w:b/>
          <w:bCs/>
          <w:sz w:val="20"/>
          <w:szCs w:val="20"/>
        </w:rPr>
      </w:pPr>
      <w:r w:rsidRPr="00370C25">
        <w:rPr>
          <w:b/>
          <w:bCs/>
          <w:sz w:val="20"/>
          <w:szCs w:val="20"/>
        </w:rPr>
        <w:t>CONSENT FOR PUBLICATION</w:t>
      </w:r>
    </w:p>
    <w:p w14:paraId="67B8BF21" w14:textId="70833D16" w:rsidR="00917031" w:rsidRPr="00370C25" w:rsidRDefault="00917031" w:rsidP="00917031">
      <w:pPr>
        <w:pStyle w:val="05-ArticleText"/>
        <w:ind w:firstLine="284"/>
        <w:rPr>
          <w:color w:val="000000" w:themeColor="text1"/>
        </w:rPr>
      </w:pPr>
      <w:r w:rsidRPr="00370C25">
        <w:rPr>
          <w:color w:val="000000" w:themeColor="text1"/>
        </w:rPr>
        <w:t>Not applicable.</w:t>
      </w:r>
    </w:p>
    <w:p w14:paraId="7A462820" w14:textId="77777777" w:rsidR="00C33410" w:rsidRPr="00370C25" w:rsidRDefault="00C33410" w:rsidP="00C33410">
      <w:pPr>
        <w:pStyle w:val="06-Heading-1"/>
        <w:spacing w:before="0"/>
        <w:rPr>
          <w:bCs/>
        </w:rPr>
      </w:pPr>
      <w:r w:rsidRPr="00370C25">
        <w:rPr>
          <w:bCs/>
        </w:rPr>
        <w:t>AVAILABILITY OF DATA AND MATERIALS</w:t>
      </w:r>
    </w:p>
    <w:p w14:paraId="4DFFB956" w14:textId="39413F34" w:rsidR="002E24F4" w:rsidRPr="00370C25" w:rsidRDefault="00C33410" w:rsidP="0044055D">
      <w:pPr>
        <w:pStyle w:val="05-ArticleText"/>
        <w:rPr>
          <w:color w:val="000000" w:themeColor="text1"/>
        </w:rPr>
      </w:pPr>
      <w:r w:rsidRPr="00370C25">
        <w:rPr>
          <w:color w:val="000000" w:themeColor="text1"/>
        </w:rPr>
        <w:tab/>
      </w:r>
      <w:sdt>
        <w:sdtPr>
          <w:rPr>
            <w:color w:val="000000" w:themeColor="text1"/>
          </w:rPr>
          <w:id w:val="-1396498859"/>
          <w:placeholder>
            <w:docPart w:val="361E3E4BC08F433697E76F61121E56E3"/>
          </w:placeholder>
        </w:sdtPr>
        <w:sdtContent>
          <w:r w:rsidR="0044055D" w:rsidRPr="00370C25">
            <w:rPr>
              <w:color w:val="000000" w:themeColor="text1"/>
            </w:rPr>
            <w:t xml:space="preserve">The data </w:t>
          </w:r>
          <w:r w:rsidR="00CD181F" w:rsidRPr="00370C25">
            <w:rPr>
              <w:color w:val="000000" w:themeColor="text1"/>
            </w:rPr>
            <w:t>supporting</w:t>
          </w:r>
          <w:r w:rsidR="0044055D" w:rsidRPr="00370C25">
            <w:rPr>
              <w:color w:val="000000" w:themeColor="text1"/>
            </w:rPr>
            <w:t xml:space="preserve"> the findings of this study are available from the corresponding author upon request</w:t>
          </w:r>
          <w:r w:rsidR="00917031" w:rsidRPr="00370C25">
            <w:rPr>
              <w:color w:val="000000" w:themeColor="text1"/>
            </w:rPr>
            <w:t>.</w:t>
          </w:r>
        </w:sdtContent>
      </w:sdt>
    </w:p>
    <w:p w14:paraId="033BD57C" w14:textId="77777777" w:rsidR="00C33410" w:rsidRPr="00370C25" w:rsidRDefault="00C33410" w:rsidP="00C33410">
      <w:pPr>
        <w:pStyle w:val="06-Heading-1"/>
        <w:spacing w:before="0"/>
        <w:rPr>
          <w:bCs/>
        </w:rPr>
      </w:pPr>
      <w:r w:rsidRPr="00370C25">
        <w:rPr>
          <w:bCs/>
        </w:rPr>
        <w:t>FUNDING</w:t>
      </w:r>
    </w:p>
    <w:p w14:paraId="397521DB" w14:textId="2383BF7E" w:rsidR="00C33410" w:rsidRPr="00370C25" w:rsidRDefault="00C33410" w:rsidP="00C33410">
      <w:pPr>
        <w:pStyle w:val="05-ArticleText"/>
        <w:rPr>
          <w:color w:val="A6A6A6"/>
          <w:lang w:eastAsia="en-US"/>
        </w:rPr>
      </w:pPr>
      <w:r w:rsidRPr="00370C25">
        <w:rPr>
          <w:color w:val="A6A6A6"/>
          <w:lang w:eastAsia="en-US"/>
        </w:rPr>
        <w:tab/>
      </w:r>
      <w:sdt>
        <w:sdtPr>
          <w:rPr>
            <w:color w:val="A6A6A6"/>
            <w:lang w:eastAsia="en-US"/>
          </w:rPr>
          <w:id w:val="-1603029803"/>
          <w:placeholder>
            <w:docPart w:val="BFC228E49542478C985A2C3611A646C3"/>
          </w:placeholder>
        </w:sdtPr>
        <w:sdtContent>
          <w:r w:rsidR="0044055D" w:rsidRPr="00370C25">
            <w:t>This research was supported by a grant to LM from University of Rome La Sapienza (</w:t>
          </w:r>
          <w:proofErr w:type="spellStart"/>
          <w:r w:rsidR="0044055D" w:rsidRPr="00370C25">
            <w:t>Ricerca</w:t>
          </w:r>
          <w:proofErr w:type="spellEnd"/>
          <w:r w:rsidR="0044055D" w:rsidRPr="00370C25">
            <w:t xml:space="preserve"> Ateneo Sapienza, </w:t>
          </w:r>
          <w:proofErr w:type="spellStart"/>
          <w:r w:rsidR="0044055D" w:rsidRPr="00370C25">
            <w:t>Progetti</w:t>
          </w:r>
          <w:proofErr w:type="spellEnd"/>
          <w:r w:rsidR="0044055D" w:rsidRPr="00370C25">
            <w:t xml:space="preserve"> per Avvio alla </w:t>
          </w:r>
          <w:proofErr w:type="spellStart"/>
          <w:r w:rsidR="0044055D" w:rsidRPr="00370C25">
            <w:t>Ricerca</w:t>
          </w:r>
          <w:proofErr w:type="spellEnd"/>
          <w:r w:rsidR="0044055D" w:rsidRPr="00370C25">
            <w:t xml:space="preserve"> – Tipo 2, 2024, protocol number: AR224190789E6656)</w:t>
          </w:r>
        </w:sdtContent>
      </w:sdt>
      <w:r w:rsidR="00917031" w:rsidRPr="00370C25">
        <w:rPr>
          <w:color w:val="A6A6A6"/>
          <w:lang w:eastAsia="en-US"/>
        </w:rPr>
        <w:t>.</w:t>
      </w:r>
    </w:p>
    <w:p w14:paraId="5DA0B31C" w14:textId="77777777" w:rsidR="00C33410" w:rsidRPr="00370C25" w:rsidRDefault="00C33410" w:rsidP="00C33410">
      <w:pPr>
        <w:pStyle w:val="06-Heading-1"/>
        <w:spacing w:before="0"/>
        <w:rPr>
          <w:bCs/>
        </w:rPr>
      </w:pPr>
      <w:r w:rsidRPr="00370C25">
        <w:rPr>
          <w:bCs/>
        </w:rPr>
        <w:t>Conflict of Interest</w:t>
      </w:r>
    </w:p>
    <w:p w14:paraId="7904303B" w14:textId="5101523C" w:rsidR="00C33410" w:rsidRPr="00370C25" w:rsidRDefault="00C33410" w:rsidP="00C33410">
      <w:pPr>
        <w:pStyle w:val="05-ArticleText"/>
        <w:rPr>
          <w:color w:val="000000" w:themeColor="text1"/>
        </w:rPr>
      </w:pPr>
      <w:r w:rsidRPr="00370C25">
        <w:rPr>
          <w:color w:val="000000" w:themeColor="text1"/>
        </w:rPr>
        <w:tab/>
      </w:r>
      <w:sdt>
        <w:sdtPr>
          <w:rPr>
            <w:color w:val="000000" w:themeColor="text1"/>
          </w:rPr>
          <w:id w:val="-1395647510"/>
          <w:placeholder>
            <w:docPart w:val="7DA2DF8731294BDC8CFDFA00DAD96401"/>
          </w:placeholder>
        </w:sdtPr>
        <w:sdtContent>
          <w:r w:rsidR="0044055D" w:rsidRPr="00370C25">
            <w:rPr>
              <w:color w:val="000000" w:themeColor="text1"/>
            </w:rPr>
            <w:t>The authors declare no conflict of interest, financial or otherwise.</w:t>
          </w:r>
        </w:sdtContent>
      </w:sdt>
    </w:p>
    <w:p w14:paraId="30BB3953" w14:textId="77777777" w:rsidR="00C33410" w:rsidRPr="00370C25" w:rsidRDefault="00C33410" w:rsidP="00C33410">
      <w:pPr>
        <w:pStyle w:val="06-Heading-1"/>
        <w:spacing w:before="0"/>
        <w:rPr>
          <w:bCs/>
        </w:rPr>
      </w:pPr>
      <w:r w:rsidRPr="00370C25">
        <w:rPr>
          <w:bCs/>
        </w:rPr>
        <w:t>Acknowledgements</w:t>
      </w:r>
    </w:p>
    <w:p w14:paraId="19930297" w14:textId="5031234D" w:rsidR="00C33410" w:rsidRPr="00370C25" w:rsidRDefault="00C33410" w:rsidP="00C33410">
      <w:pPr>
        <w:pStyle w:val="05-ArticleText"/>
        <w:rPr>
          <w:color w:val="000000" w:themeColor="text1"/>
        </w:rPr>
      </w:pPr>
      <w:r w:rsidRPr="00370C25">
        <w:rPr>
          <w:color w:val="000000" w:themeColor="text1"/>
        </w:rPr>
        <w:tab/>
      </w:r>
      <w:sdt>
        <w:sdtPr>
          <w:rPr>
            <w:color w:val="000000" w:themeColor="text1"/>
          </w:rPr>
          <w:id w:val="-1478376509"/>
          <w:placeholder>
            <w:docPart w:val="B8EE2281FD9042E9BE2B0CEAF00FEB77"/>
          </w:placeholder>
        </w:sdtPr>
        <w:sdtContent>
          <w:r w:rsidR="00347B42" w:rsidRPr="00370C25">
            <w:rPr>
              <w:color w:val="000000" w:themeColor="text1"/>
            </w:rPr>
            <w:t xml:space="preserve">Declared </w:t>
          </w:r>
          <w:r w:rsidR="00917031" w:rsidRPr="00370C25">
            <w:rPr>
              <w:color w:val="000000" w:themeColor="text1"/>
            </w:rPr>
            <w:t>n</w:t>
          </w:r>
          <w:r w:rsidR="00347B42" w:rsidRPr="00370C25">
            <w:rPr>
              <w:color w:val="000000" w:themeColor="text1"/>
            </w:rPr>
            <w:t>one</w:t>
          </w:r>
        </w:sdtContent>
      </w:sdt>
      <w:r w:rsidR="00917031" w:rsidRPr="00370C25">
        <w:rPr>
          <w:color w:val="000000" w:themeColor="text1"/>
        </w:rPr>
        <w:t>.</w:t>
      </w:r>
    </w:p>
    <w:p w14:paraId="37D721BD" w14:textId="77777777" w:rsidR="00C33410" w:rsidRPr="00370C25" w:rsidRDefault="00C33410" w:rsidP="00C33410">
      <w:pPr>
        <w:pStyle w:val="06-Heading-1"/>
        <w:spacing w:before="0"/>
        <w:rPr>
          <w:bCs/>
        </w:rPr>
      </w:pPr>
      <w:r w:rsidRPr="00370C25">
        <w:rPr>
          <w:bCs/>
        </w:rPr>
        <w:t>REFERENCES</w:t>
      </w:r>
    </w:p>
    <w:p w14:paraId="142C0D85" w14:textId="2574D09E" w:rsidR="001A3285" w:rsidRPr="00370C25" w:rsidRDefault="004268A2" w:rsidP="001A3285">
      <w:pPr>
        <w:widowControl w:val="0"/>
        <w:autoSpaceDE w:val="0"/>
        <w:autoSpaceDN w:val="0"/>
        <w:adjustRightInd w:val="0"/>
        <w:spacing w:line="240" w:lineRule="atLeast"/>
        <w:ind w:left="640" w:hanging="640"/>
        <w:rPr>
          <w:noProof/>
          <w:sz w:val="20"/>
        </w:rPr>
      </w:pPr>
      <w:r w:rsidRPr="00370C25">
        <w:rPr>
          <w:rFonts w:eastAsia="Times"/>
          <w:color w:val="A6A6A6"/>
          <w:sz w:val="20"/>
          <w:szCs w:val="20"/>
        </w:rPr>
        <w:fldChar w:fldCharType="begin" w:fldLock="1"/>
      </w:r>
      <w:r w:rsidRPr="00370C25">
        <w:rPr>
          <w:rFonts w:eastAsia="Times"/>
          <w:color w:val="A6A6A6"/>
          <w:sz w:val="20"/>
          <w:szCs w:val="20"/>
        </w:rPr>
        <w:instrText xml:space="preserve">ADDIN Mendeley Bibliography CSL_BIBLIOGRAPHY </w:instrText>
      </w:r>
      <w:r w:rsidRPr="00370C25">
        <w:rPr>
          <w:rFonts w:eastAsia="Times"/>
          <w:color w:val="A6A6A6"/>
          <w:sz w:val="20"/>
          <w:szCs w:val="20"/>
        </w:rPr>
        <w:fldChar w:fldCharType="separate"/>
      </w:r>
      <w:r w:rsidR="001A3285" w:rsidRPr="00370C25">
        <w:rPr>
          <w:noProof/>
          <w:sz w:val="20"/>
        </w:rPr>
        <w:t>[1]</w:t>
      </w:r>
      <w:r w:rsidR="001A3285" w:rsidRPr="00370C25">
        <w:rPr>
          <w:noProof/>
          <w:sz w:val="20"/>
        </w:rPr>
        <w:tab/>
        <w:t>Post JJ. HIV: is it now a thing of the past? Intern Med J 2025. https://doi.org/10.1111/imj.70200.</w:t>
      </w:r>
    </w:p>
    <w:p w14:paraId="790F740A" w14:textId="77777777" w:rsidR="001A3285" w:rsidRPr="00370C25" w:rsidRDefault="001A3285" w:rsidP="001A3285">
      <w:pPr>
        <w:widowControl w:val="0"/>
        <w:autoSpaceDE w:val="0"/>
        <w:autoSpaceDN w:val="0"/>
        <w:adjustRightInd w:val="0"/>
        <w:spacing w:line="240" w:lineRule="atLeast"/>
        <w:ind w:left="640" w:hanging="640"/>
        <w:rPr>
          <w:noProof/>
          <w:sz w:val="20"/>
          <w:lang w:val="it-IT"/>
        </w:rPr>
      </w:pPr>
      <w:r w:rsidRPr="00370C25">
        <w:rPr>
          <w:noProof/>
          <w:sz w:val="20"/>
        </w:rPr>
        <w:t>[2]</w:t>
      </w:r>
      <w:r w:rsidRPr="00370C25">
        <w:rPr>
          <w:noProof/>
          <w:sz w:val="20"/>
        </w:rPr>
        <w:tab/>
        <w:t xml:space="preserve">Deeks SG, Tracy R, Douek DC. Systemic effects of inflammation on health during chronic HIV infection. </w:t>
      </w:r>
      <w:r w:rsidRPr="00370C25">
        <w:rPr>
          <w:noProof/>
          <w:sz w:val="20"/>
          <w:lang w:val="it-IT"/>
        </w:rPr>
        <w:t>Immunity 2013;39:633–45. https://doi.org/10.1016/j.immuni.2013.10.001.</w:t>
      </w:r>
    </w:p>
    <w:p w14:paraId="60E3A3D5"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lang w:val="it-IT"/>
        </w:rPr>
        <w:t>[3]</w:t>
      </w:r>
      <w:r w:rsidRPr="00370C25">
        <w:rPr>
          <w:noProof/>
          <w:sz w:val="20"/>
          <w:lang w:val="it-IT"/>
        </w:rPr>
        <w:tab/>
        <w:t xml:space="preserve">Zicari S, Sessa L, Cotugno N, Ruggiero A, Morrocchi E, Concato C, et al. </w:t>
      </w:r>
      <w:r w:rsidRPr="00370C25">
        <w:rPr>
          <w:noProof/>
          <w:sz w:val="20"/>
        </w:rPr>
        <w:t>Immune Activation, Inflammation, and Non-AIDS Co-Morbidities in HIV-Infected  Patients under Long-Term ART. Viruses 2019;11. https://doi.org/10.3390/v11030200.</w:t>
      </w:r>
    </w:p>
    <w:p w14:paraId="18111A7E"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w:t>
      </w:r>
      <w:r w:rsidRPr="00370C25">
        <w:rPr>
          <w:noProof/>
          <w:sz w:val="20"/>
        </w:rPr>
        <w:tab/>
        <w:t>Perkins M V, Joseph SB, Dittmer DP, Mackman N. Cardiovascular Disease and Thrombosis in HIV Infection. Arterioscler Thromb Vasc Biol 2023;43:175–91. https://doi.org/10.1161/ATVBAHA.122.318232.</w:t>
      </w:r>
    </w:p>
    <w:p w14:paraId="63320DC4"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[5]</w:t>
      </w:r>
      <w:r w:rsidRPr="00370C25">
        <w:rPr>
          <w:noProof/>
          <w:sz w:val="20"/>
        </w:rPr>
        <w:tab/>
        <w:t>Choshi J, Hanser S, Mabhida SE, Mokoena H, Moetlediwa MT, Muvhulawa N, et al. A systematic review assessing the association of inflammatory markers with kidney dysfunction in people living with HIV on highly active antiretroviral therapy. BMC Infect Dis 2024;24:776. https://doi.org/10.1186/s12879-024-09594-5.</w:t>
      </w:r>
    </w:p>
    <w:p w14:paraId="124708AC"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[6]</w:t>
      </w:r>
      <w:r w:rsidRPr="00370C25">
        <w:rPr>
          <w:noProof/>
          <w:sz w:val="20"/>
        </w:rPr>
        <w:tab/>
        <w:t>Hsu DC, Sereti I. Serious Non-AIDS Events: Therapeutic Targets of Immune Activation and Chronic  Inflammation in HIV Infection. Drugs 2016;76:533–49. https://doi.org/10.1007/s40265-016-0546-7.</w:t>
      </w:r>
    </w:p>
    <w:p w14:paraId="4A247A9C"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[7]</w:t>
      </w:r>
      <w:r w:rsidRPr="00370C25">
        <w:rPr>
          <w:noProof/>
          <w:sz w:val="20"/>
        </w:rPr>
        <w:tab/>
        <w:t>Palella FJJ, Baker RK, Moorman AC, Chmiel JS, Wood KC, Brooks JT, et al. Mortality in the highly active antiretroviral therapy era: changing causes of  death and disease in the HIV outpatient study. J Acquir Immune Defic Syndr 2006;43:27–34. https://doi.org/10.1097/01.qai.0000233310.90484.16.</w:t>
      </w:r>
    </w:p>
    <w:p w14:paraId="7480A17D"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[8]</w:t>
      </w:r>
      <w:r w:rsidRPr="00370C25">
        <w:rPr>
          <w:noProof/>
          <w:sz w:val="20"/>
        </w:rPr>
        <w:tab/>
        <w:t>Hsu DC, Sereti I, Ananworanich J. Serious Non-AIDS events: Immunopathogenesis and interventional strategies. AIDS Res Ther 2013;10:29. https://doi.org/10.1186/1742-6405-10-29.</w:t>
      </w:r>
    </w:p>
    <w:p w14:paraId="05C02B0E"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[9]</w:t>
      </w:r>
      <w:r w:rsidRPr="00370C25">
        <w:rPr>
          <w:noProof/>
          <w:sz w:val="20"/>
        </w:rPr>
        <w:tab/>
        <w:t>Hogg RS, Yip B, Chan KJ, Wood E, Craib KJ, O’Shaughnessy M V, et al. Rates of disease progression by baseline CD4 cell count and viral load after  initiating triple-drug therapy. JAMA 2001;286:2568–77. https://doi.org/10.1001/jama.286.20.2568.</w:t>
      </w:r>
    </w:p>
    <w:p w14:paraId="38406844"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[10]</w:t>
      </w:r>
      <w:r w:rsidRPr="00370C25">
        <w:rPr>
          <w:noProof/>
          <w:sz w:val="20"/>
        </w:rPr>
        <w:tab/>
        <w:t>Basoulis D, Pantazis N, Paraskevis D, Iliopoulos P, Papadopoulou M, Akinosoglou K, et al. HIV RNA/DNA Levels at Diagnosis Can Predict Immune Reconstitution: A Longitudinal Analysis. Microorganisms 2023;11. https://doi.org/10.3390/microorganisms11061510.</w:t>
      </w:r>
    </w:p>
    <w:p w14:paraId="19ECCAAD"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[11]</w:t>
      </w:r>
      <w:r w:rsidRPr="00370C25">
        <w:rPr>
          <w:noProof/>
          <w:sz w:val="20"/>
        </w:rPr>
        <w:tab/>
        <w:t>Egger M, May M, Chêne G, Phillips AN, Ledergerber B, Dabis F, et al. Prognosis of HIV-1-infected patients starting highly active antiretroviral  therapy: a collaborative analysis of prospective studies. Lancet (London, England) 2002;360:119–29. https://doi.org/10.1016/s0140-6736(02)09411-4.</w:t>
      </w:r>
    </w:p>
    <w:p w14:paraId="2C281DC0"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[12]</w:t>
      </w:r>
      <w:r w:rsidRPr="00370C25">
        <w:rPr>
          <w:noProof/>
          <w:sz w:val="20"/>
        </w:rPr>
        <w:tab/>
        <w:t>Lundgren JD, Babiker AG, Gordin F, Emery S, Grund B, Sharma S, et al. Initiation of Antiretroviral Therapy in Early Asymptomatic HIV Infection. N Engl J Med 2015;373:795–807. https://doi.org/10.1056/NEJMoa1506816.</w:t>
      </w:r>
    </w:p>
    <w:p w14:paraId="1A0A0C7E"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[13]</w:t>
      </w:r>
      <w:r w:rsidRPr="00370C25">
        <w:rPr>
          <w:noProof/>
          <w:sz w:val="20"/>
        </w:rPr>
        <w:tab/>
        <w:t>Saylor D, Dickens AM, Sacktor N, Haughey N, Slusher B, Pletnikov M, et al. HIV-associated neurocognitive disorder--pathogenesis and prospects for treatment. Nat Rev Neurol 2016;12:234–48. https://doi.org/10.1038/nrneurol.2016.27.</w:t>
      </w:r>
    </w:p>
    <w:p w14:paraId="0E8E0B07"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lastRenderedPageBreak/>
        <w:t>[14]</w:t>
      </w:r>
      <w:r w:rsidRPr="00370C25">
        <w:rPr>
          <w:noProof/>
          <w:sz w:val="20"/>
        </w:rPr>
        <w:tab/>
        <w:t>Antinori A, Arendt G, Becker JT, Brew BJ, Byrd DA, Cherner M, et al. Updated research nosology for HIV-associated neurocognitive disorders. Neurology 2007;69:1789–99. https://doi.org/10.1212/01.WNL.0000287431.88658.8b.</w:t>
      </w:r>
    </w:p>
    <w:p w14:paraId="7A49C96E"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[15]</w:t>
      </w:r>
      <w:r w:rsidRPr="00370C25">
        <w:rPr>
          <w:noProof/>
          <w:sz w:val="20"/>
        </w:rPr>
        <w:tab/>
        <w:t>Heaton RK, Clifford DB, Franklin DRJ, Woods SP, Ake C, Vaida F, et al. HIV-associated neurocognitive disorders persist in the era of potent  antiretroviral therapy: CHARTER Study. Neurology 2010;75:2087–96. https://doi.org/10.1212/WNL.0b013e318200d727.</w:t>
      </w:r>
    </w:p>
    <w:p w14:paraId="7BC18282"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[16]</w:t>
      </w:r>
      <w:r w:rsidRPr="00370C25">
        <w:rPr>
          <w:noProof/>
          <w:sz w:val="20"/>
        </w:rPr>
        <w:tab/>
        <w:t>Skaper SD. The neurotrophin family of neurotrophic factors: an overview. Methods Mol Biol 2012;846:1–12. https://doi.org/10.1007/978-1-61779-536-7_1.</w:t>
      </w:r>
    </w:p>
    <w:p w14:paraId="49B8B7AD"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[17]</w:t>
      </w:r>
      <w:r w:rsidRPr="00370C25">
        <w:rPr>
          <w:noProof/>
          <w:sz w:val="20"/>
        </w:rPr>
        <w:tab/>
        <w:t>Calabrese F, Rossetti AC, Racagni G, Gass P, Riva MA, Molteni R. Brain-derived neurotrophic factor: a bridge between inflammation and neuroplasticity. Front Cell Neurosci 2014;Volume 8-.</w:t>
      </w:r>
    </w:p>
    <w:p w14:paraId="4E6B4AD4"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[18]</w:t>
      </w:r>
      <w:r w:rsidRPr="00370C25">
        <w:rPr>
          <w:noProof/>
          <w:sz w:val="20"/>
        </w:rPr>
        <w:tab/>
        <w:t>Fiore M, Amendola T, Triaca V, Tirassa P, Alleva E, Aloe L. Agonistic encounters in aged male mouse potentiate the expression of endogenous  brain NGF and BDNF: possible implication for brain progenitor cells’ activation. Eur J Neurosci 2003;17:1455–64. https://doi.org/10.1046/j.1460-9568.2003.02573.x.</w:t>
      </w:r>
    </w:p>
    <w:p w14:paraId="05227ED6"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[19]</w:t>
      </w:r>
      <w:r w:rsidRPr="00370C25">
        <w:rPr>
          <w:noProof/>
          <w:sz w:val="20"/>
        </w:rPr>
        <w:tab/>
        <w:t>Chaldakov GN, Fiore M, Tonchev AB, Aloe L. Neuroadipology: a novel component of neuroendocrinology. Cell Biol Int 2010;34:1051–3. https://doi.org/10.1042/CBI20100509.</w:t>
      </w:r>
    </w:p>
    <w:p w14:paraId="176886BA"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[20]</w:t>
      </w:r>
      <w:r w:rsidRPr="00370C25">
        <w:rPr>
          <w:noProof/>
          <w:sz w:val="20"/>
        </w:rPr>
        <w:tab/>
        <w:t>Fiore M, Terracina S, Ferraguti G. Brain Neurotrophins and Plant Polyphenols: A Powerful Connection. Molecules 2025;30:2657. https://doi.org/10.3390/molecules30122657.</w:t>
      </w:r>
    </w:p>
    <w:p w14:paraId="20053CC7" w14:textId="77777777" w:rsidR="001A3285" w:rsidRPr="00370C25" w:rsidRDefault="001A3285" w:rsidP="001A3285">
      <w:pPr>
        <w:widowControl w:val="0"/>
        <w:autoSpaceDE w:val="0"/>
        <w:autoSpaceDN w:val="0"/>
        <w:adjustRightInd w:val="0"/>
        <w:spacing w:line="240" w:lineRule="atLeast"/>
        <w:ind w:left="640" w:hanging="640"/>
        <w:rPr>
          <w:noProof/>
          <w:sz w:val="20"/>
          <w:lang w:val="it-IT"/>
        </w:rPr>
      </w:pPr>
      <w:r w:rsidRPr="00370C25">
        <w:rPr>
          <w:noProof/>
          <w:sz w:val="20"/>
        </w:rPr>
        <w:t>[21]</w:t>
      </w:r>
      <w:r w:rsidRPr="00370C25">
        <w:rPr>
          <w:noProof/>
          <w:sz w:val="20"/>
        </w:rPr>
        <w:tab/>
        <w:t xml:space="preserve">Aloe L, Iannitelli A, Angelucci F, Bersani G, Fiore M. Studies in animal models and humans suggesting a role of nerve growth factor in  schizophrenia-like disorders. </w:t>
      </w:r>
      <w:r w:rsidRPr="00370C25">
        <w:rPr>
          <w:noProof/>
          <w:sz w:val="20"/>
          <w:lang w:val="it-IT"/>
        </w:rPr>
        <w:t>Behav Pharmacol 2000;11:235–42. https://doi.org/10.1097/00008877-200006000-00007.</w:t>
      </w:r>
    </w:p>
    <w:p w14:paraId="03F96268"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lang w:val="it-IT"/>
        </w:rPr>
        <w:t>[22]</w:t>
      </w:r>
      <w:r w:rsidRPr="00370C25">
        <w:rPr>
          <w:noProof/>
          <w:sz w:val="20"/>
          <w:lang w:val="it-IT"/>
        </w:rPr>
        <w:tab/>
        <w:t xml:space="preserve">Escobar AP, Bonansco C, Cruz G, Dagnino-Subiabre A, Fuenzalida M, Negrón I, et al. </w:t>
      </w:r>
      <w:r w:rsidRPr="00370C25">
        <w:rPr>
          <w:noProof/>
          <w:sz w:val="20"/>
        </w:rPr>
        <w:t>Central and Peripheral Inflammation: A Common Factor Causing Addictive and  Neurological Disorders and Aging-Related Pathologies. Int J Mol Sci 2023;24. https://doi.org/10.3390/ijms241210083.</w:t>
      </w:r>
    </w:p>
    <w:p w14:paraId="1140E788"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[23]</w:t>
      </w:r>
      <w:r w:rsidRPr="00370C25">
        <w:rPr>
          <w:noProof/>
          <w:sz w:val="20"/>
        </w:rPr>
        <w:tab/>
        <w:t>García-Domínguez M. Neuroinflammation: Mechanisms, Dual Roles, and Therapeutic Strategies in Neurological Disorders. Curr Issues Mol Biol 2025;47:417. https://doi.org/10.3390/cimb47060417.</w:t>
      </w:r>
    </w:p>
    <w:p w14:paraId="01FF0548"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[24]</w:t>
      </w:r>
      <w:r w:rsidRPr="00370C25">
        <w:rPr>
          <w:noProof/>
          <w:sz w:val="20"/>
        </w:rPr>
        <w:tab/>
        <w:t>Tan S, Chen W, Kong G, Wei L, Xie Y. Peripheral inflammation and neurocognitive impairment: correlations, underlying  mechanisms, and therapeutic implications. Front Aging Neurosci 2023;15:1305790. https://doi.org/10.3389/fnagi.2023.1305790.</w:t>
      </w:r>
    </w:p>
    <w:p w14:paraId="2F7A4977"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[25]</w:t>
      </w:r>
      <w:r w:rsidRPr="00370C25">
        <w:rPr>
          <w:noProof/>
          <w:sz w:val="20"/>
        </w:rPr>
        <w:tab/>
        <w:t xml:space="preserve">Demers-Mathieu V, Hines DJ, Hines RM, Lavangnananda S, Fels S, Medo E. Influence of </w:t>
      </w:r>
      <w:r w:rsidRPr="00370C25">
        <w:rPr>
          <w:noProof/>
          <w:sz w:val="20"/>
        </w:rPr>
        <w:t>Previous COVID-19 and Mastitis Infections on the Secretion of  Brain-Derived Neurotrophic Factor and Nerve Growth Factor in Human Milk. Int J Mol Sci 2021;22. https://doi.org/10.3390/ijms22083846.</w:t>
      </w:r>
    </w:p>
    <w:p w14:paraId="01611774" w14:textId="77777777" w:rsidR="001A3285" w:rsidRPr="00370C25" w:rsidRDefault="001A3285" w:rsidP="001A3285">
      <w:pPr>
        <w:widowControl w:val="0"/>
        <w:autoSpaceDE w:val="0"/>
        <w:autoSpaceDN w:val="0"/>
        <w:adjustRightInd w:val="0"/>
        <w:spacing w:line="240" w:lineRule="atLeast"/>
        <w:ind w:left="640" w:hanging="640"/>
        <w:rPr>
          <w:noProof/>
          <w:sz w:val="20"/>
          <w:lang w:val="it-IT"/>
        </w:rPr>
      </w:pPr>
      <w:r w:rsidRPr="00370C25">
        <w:rPr>
          <w:noProof/>
          <w:sz w:val="20"/>
        </w:rPr>
        <w:t>[26]</w:t>
      </w:r>
      <w:r w:rsidRPr="00370C25">
        <w:rPr>
          <w:noProof/>
          <w:sz w:val="20"/>
        </w:rPr>
        <w:tab/>
        <w:t xml:space="preserve">Petrella C, Ferraguti G, Tarani L, Tarani F, Messina MP, Fiore M. Nerve Growth Factor and Brain-Derived Neurotrophic Factor in COVID-19. </w:t>
      </w:r>
      <w:r w:rsidRPr="00370C25">
        <w:rPr>
          <w:noProof/>
          <w:sz w:val="20"/>
          <w:lang w:val="it-IT"/>
        </w:rPr>
        <w:t>Biology (Basel) 2024;13. https://doi.org/10.3390/biology13110907.</w:t>
      </w:r>
    </w:p>
    <w:p w14:paraId="04CD709F" w14:textId="77777777" w:rsidR="001A3285" w:rsidRPr="00370C25" w:rsidRDefault="001A3285" w:rsidP="001A3285">
      <w:pPr>
        <w:widowControl w:val="0"/>
        <w:autoSpaceDE w:val="0"/>
        <w:autoSpaceDN w:val="0"/>
        <w:adjustRightInd w:val="0"/>
        <w:spacing w:line="240" w:lineRule="atLeast"/>
        <w:ind w:left="640" w:hanging="640"/>
        <w:rPr>
          <w:noProof/>
          <w:sz w:val="20"/>
          <w:lang w:val="it-IT"/>
        </w:rPr>
      </w:pPr>
      <w:r w:rsidRPr="00370C25">
        <w:rPr>
          <w:noProof/>
          <w:sz w:val="20"/>
          <w:lang w:val="it-IT"/>
        </w:rPr>
        <w:t>[27]</w:t>
      </w:r>
      <w:r w:rsidRPr="00370C25">
        <w:rPr>
          <w:noProof/>
          <w:sz w:val="20"/>
          <w:lang w:val="it-IT"/>
        </w:rPr>
        <w:tab/>
        <w:t xml:space="preserve">Petrella C, Nenna R, Petrarca L, Tarani F, Paparella R, Mancino E, et al. </w:t>
      </w:r>
      <w:r w:rsidRPr="00370C25">
        <w:rPr>
          <w:noProof/>
          <w:sz w:val="20"/>
        </w:rPr>
        <w:t xml:space="preserve">Serum NGF and BDNF in Long-COVID-19 Adolescents: A Pilot Study. </w:t>
      </w:r>
      <w:r w:rsidRPr="00370C25">
        <w:rPr>
          <w:noProof/>
          <w:sz w:val="20"/>
          <w:lang w:val="it-IT"/>
        </w:rPr>
        <w:t>Diagnostics (Basel, Switzerland) 2022;12. https://doi.org/10.3390/diagnostics12051162.</w:t>
      </w:r>
    </w:p>
    <w:p w14:paraId="58662F12"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lang w:val="it-IT"/>
        </w:rPr>
        <w:t>[28]</w:t>
      </w:r>
      <w:r w:rsidRPr="00370C25">
        <w:rPr>
          <w:noProof/>
          <w:sz w:val="20"/>
          <w:lang w:val="it-IT"/>
        </w:rPr>
        <w:tab/>
        <w:t xml:space="preserve">Petrella C, Zingaropoli MA, Ceci FM, Pasculli P, Latronico T, Liuzzi GM, et al. </w:t>
      </w:r>
      <w:r w:rsidRPr="00370C25">
        <w:rPr>
          <w:noProof/>
          <w:sz w:val="20"/>
        </w:rPr>
        <w:t>COVID-19 Affects Serum Brain-Derived Neurotrophic Factor and Neurofilament Light  Chain in Aged Men: Implications for Morbidity and Mortality. Cells 2023;12. https://doi.org/10.3390/cells12040655.</w:t>
      </w:r>
    </w:p>
    <w:p w14:paraId="6328AA6C"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[29]</w:t>
      </w:r>
      <w:r w:rsidRPr="00370C25">
        <w:rPr>
          <w:noProof/>
          <w:sz w:val="20"/>
        </w:rPr>
        <w:tab/>
        <w:t>Avdoshina V, Bachis A, Mocchetti I. Synaptic dysfunction in human immunodeficiency virus type-1-positive subjects: inflammation or impaired neuronal plasticity? J Intern Med 2013;273:454–65. https://doi.org/https://doi.org/10.1111/joim.12050.</w:t>
      </w:r>
    </w:p>
    <w:p w14:paraId="2A1EECDE"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[30]</w:t>
      </w:r>
      <w:r w:rsidRPr="00370C25">
        <w:rPr>
          <w:noProof/>
          <w:sz w:val="20"/>
        </w:rPr>
        <w:tab/>
        <w:t>Belloir JA, Myers T, Batey S, Schnall R. Brain-Derived Neurotrophic Factor (BDNF) is Associated with Self-Reported  Cognitive Function in Adults with HIV. Biol Res Nurs 2025;27:255–60. https://doi.org/10.1177/10998004241296466.</w:t>
      </w:r>
    </w:p>
    <w:p w14:paraId="7F71CF3F"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[31]</w:t>
      </w:r>
      <w:r w:rsidRPr="00370C25">
        <w:rPr>
          <w:noProof/>
          <w:sz w:val="20"/>
        </w:rPr>
        <w:tab/>
        <w:t>Wang Y, Liu M, Lu Q, Farrell M, Lappin JM, Shi J, et al. Global prevalence and burden of HIV-associated neurocognitive disorder: A  meta-analysis. Neurology 2020;95:e2610–21. https://doi.org/10.1212/WNL.0000000000010752.</w:t>
      </w:r>
    </w:p>
    <w:p w14:paraId="4C28927B"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[32]</w:t>
      </w:r>
      <w:r w:rsidRPr="00370C25">
        <w:rPr>
          <w:noProof/>
          <w:sz w:val="20"/>
        </w:rPr>
        <w:tab/>
        <w:t>Numakawa T, Odaka H. The Role of Neurotrophin Signaling in Age-Related Cognitive Decline and Cognitive  Diseases. Int J Mol Sci 2022;23. https://doi.org/10.3390/ijms23147726.</w:t>
      </w:r>
    </w:p>
    <w:p w14:paraId="4B88566B"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[33]</w:t>
      </w:r>
      <w:r w:rsidRPr="00370C25">
        <w:rPr>
          <w:noProof/>
          <w:sz w:val="20"/>
        </w:rPr>
        <w:tab/>
        <w:t>Çelebi Z, Yazıcı E, Güzel Erdoğan D, Davutoglu O, Yazıcı AB. Relationship between klotho, neurotrophic factors (BDNF, NGF, GDNF) and cognitive  functions in patients with bipolar disorder. BMC Psychiatry 2025;25:53. https://doi.org/10.1186/s12888-025-06469-0.</w:t>
      </w:r>
    </w:p>
    <w:p w14:paraId="486829A0"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[34]</w:t>
      </w:r>
      <w:r w:rsidRPr="00370C25">
        <w:rPr>
          <w:noProof/>
          <w:sz w:val="20"/>
        </w:rPr>
        <w:tab/>
        <w:t>Forlenza OV, Miranda AS, Guimar I, Talib LL, Diniz BS, Gattaz WF, et al. Decreased Neurotrophic Support is Associated with Cognitive Decline in  Non-Demented Subjects. J Alzheimers Dis 2015;46:423–9. https://doi.org/10.3233/JAD-150172.</w:t>
      </w:r>
    </w:p>
    <w:p w14:paraId="5F11C866"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[35]</w:t>
      </w:r>
      <w:r w:rsidRPr="00370C25">
        <w:rPr>
          <w:noProof/>
          <w:sz w:val="20"/>
        </w:rPr>
        <w:tab/>
        <w:t>Park H, Poo M. Neurotrophin regulation of neural circuit development and function. Nat Rev Neurosci 2013;14:7–23. https://doi.org/10.1038/nrn3379.</w:t>
      </w:r>
    </w:p>
    <w:p w14:paraId="4841D2C3" w14:textId="77777777" w:rsidR="001A3285" w:rsidRPr="00370C25" w:rsidRDefault="001A3285" w:rsidP="001A3285">
      <w:pPr>
        <w:widowControl w:val="0"/>
        <w:autoSpaceDE w:val="0"/>
        <w:autoSpaceDN w:val="0"/>
        <w:adjustRightInd w:val="0"/>
        <w:spacing w:line="240" w:lineRule="atLeast"/>
        <w:ind w:left="640" w:hanging="640"/>
        <w:rPr>
          <w:noProof/>
          <w:sz w:val="20"/>
          <w:lang w:val="it-IT"/>
        </w:rPr>
      </w:pPr>
      <w:r w:rsidRPr="00370C25">
        <w:rPr>
          <w:noProof/>
          <w:sz w:val="20"/>
        </w:rPr>
        <w:t>[36]</w:t>
      </w:r>
      <w:r w:rsidRPr="00370C25">
        <w:rPr>
          <w:noProof/>
          <w:sz w:val="20"/>
        </w:rPr>
        <w:tab/>
        <w:t xml:space="preserve">Minnone G, De Benedetti F, Bracci-Laudiero L. NGF and Its Receptors in the Regulation of </w:t>
      </w:r>
      <w:r w:rsidRPr="00370C25">
        <w:rPr>
          <w:noProof/>
          <w:sz w:val="20"/>
        </w:rPr>
        <w:lastRenderedPageBreak/>
        <w:t xml:space="preserve">Inflammatory Response. </w:t>
      </w:r>
      <w:r w:rsidRPr="00370C25">
        <w:rPr>
          <w:noProof/>
          <w:sz w:val="20"/>
          <w:lang w:val="it-IT"/>
        </w:rPr>
        <w:t>Int J Mol Sci 2017;18. https://doi.org/10.3390/ijms18051028.</w:t>
      </w:r>
    </w:p>
    <w:p w14:paraId="203F5749"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lang w:val="it-IT"/>
        </w:rPr>
        <w:t>[37]</w:t>
      </w:r>
      <w:r w:rsidRPr="00370C25">
        <w:rPr>
          <w:noProof/>
          <w:sz w:val="20"/>
          <w:lang w:val="it-IT"/>
        </w:rPr>
        <w:tab/>
        <w:t xml:space="preserve">Prencipe G, Minnone G, Strippoli R, De Pasquale L, Petrini S, Caiello I, et al. </w:t>
      </w:r>
      <w:r w:rsidRPr="00370C25">
        <w:rPr>
          <w:noProof/>
          <w:sz w:val="20"/>
        </w:rPr>
        <w:t>Nerve growth factor downregulates inflammatory response in human monocytes  through TrkA. J Immunol 2014;192:3345–54. https://doi.org/10.4049/jimmunol.1300825.</w:t>
      </w:r>
    </w:p>
    <w:p w14:paraId="39045A32"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[38]</w:t>
      </w:r>
      <w:r w:rsidRPr="00370C25">
        <w:rPr>
          <w:noProof/>
          <w:sz w:val="20"/>
        </w:rPr>
        <w:tab/>
        <w:t>Pica F, Volpi A, Serafino A, Fraschetti M, Franzese O, Garaci E. Autocrine nerve growth factor is essential for cell survival and viral maturation in HHV-8–infected primary effusion lymphoma cells. Blood 2000;95:2905–12. https://doi.org/https://doi.org/10.1182/blood.V95.9.2905.009k33_2905_2912.</w:t>
      </w:r>
    </w:p>
    <w:p w14:paraId="7704FF5C"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lang w:val="it-IT"/>
        </w:rPr>
        <w:t>[39]</w:t>
      </w:r>
      <w:r w:rsidRPr="00370C25">
        <w:rPr>
          <w:noProof/>
          <w:sz w:val="20"/>
          <w:lang w:val="it-IT"/>
        </w:rPr>
        <w:tab/>
        <w:t xml:space="preserve">Garaci E, Caroleo MC, Aloe L, Aquaro S, Piacentini M, Costa N, et al. </w:t>
      </w:r>
      <w:r w:rsidRPr="00370C25">
        <w:rPr>
          <w:noProof/>
          <w:sz w:val="20"/>
        </w:rPr>
        <w:t>Nerve growth factor is an autocrine factor essential for the survival of macrophages infected with HIV. Proc Natl Acad Sci 1999;96:14013–8. https://doi.org/10.1073/pnas.96.24.14013.</w:t>
      </w:r>
    </w:p>
    <w:p w14:paraId="15C56C67"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[40]</w:t>
      </w:r>
      <w:r w:rsidRPr="00370C25">
        <w:rPr>
          <w:noProof/>
          <w:sz w:val="20"/>
        </w:rPr>
        <w:tab/>
        <w:t>Teng Z, Wang L, Li S, Tan Y, Qiu Y, Wu C, et al. Low BDNF levels in serum are associated with cognitive impairments in  medication-naïve patients with current depressive episode in BD II and MDD. J Affect Disord 2021;293:90–6. https://doi.org/10.1016/j.jad.2021.06.018.</w:t>
      </w:r>
    </w:p>
    <w:p w14:paraId="51DC682F"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[41]</w:t>
      </w:r>
      <w:r w:rsidRPr="00370C25">
        <w:rPr>
          <w:noProof/>
          <w:sz w:val="20"/>
        </w:rPr>
        <w:tab/>
        <w:t>Gunstad J, Benitez A, Smith J, Glickman E, Spitznagel MB, Alexander T, et al. Serum brain-derived neurotrophic factor is associated with cognitive function in  healthy older adults. J Geriatr Psychiatry Neurol 2008;21:166–70. https://doi.org/10.1177/0891988708316860.</w:t>
      </w:r>
    </w:p>
    <w:p w14:paraId="0F95B8D5"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[42]</w:t>
      </w:r>
      <w:r w:rsidRPr="00370C25">
        <w:rPr>
          <w:noProof/>
          <w:sz w:val="20"/>
        </w:rPr>
        <w:tab/>
        <w:t>Michael H, Mpofana T, Ramlall S, Oosthuizen F. The Role of Brain Derived Neurotrophic Factor in HIV-Associated Neurocognitive  Disorder: From the Bench-Top to the Bedside. Neuropsychiatr Dis Treat 2020;16:355–67. https://doi.org/10.2147/NDT.S232836.</w:t>
      </w:r>
    </w:p>
    <w:p w14:paraId="7DE06A1D"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[43]</w:t>
      </w:r>
      <w:r w:rsidRPr="00370C25">
        <w:rPr>
          <w:noProof/>
          <w:sz w:val="20"/>
        </w:rPr>
        <w:tab/>
        <w:t>Irollo E, Luchetta J, Ho C, Nash B, Meucci O. Mechanisms of neuronal dysfunction in HIV-associated neurocognitive disorders. Cell Mol Life Sci 2021;78:4283–303. https://doi.org/10.1007/s00018-021-03785-y.</w:t>
      </w:r>
    </w:p>
    <w:p w14:paraId="2553D738"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[44]</w:t>
      </w:r>
      <w:r w:rsidRPr="00370C25">
        <w:rPr>
          <w:noProof/>
          <w:sz w:val="20"/>
        </w:rPr>
        <w:tab/>
        <w:t xml:space="preserve">Atluri VSR, Hidalgo M, Samikkannu T, Kurapati KRV, Nair M. Synaptic Plasticity and Neurological Disorders in Neurotropic Viral Infections. Neural </w:t>
      </w:r>
      <w:r w:rsidRPr="00370C25">
        <w:rPr>
          <w:noProof/>
          <w:sz w:val="20"/>
        </w:rPr>
        <w:t>Plast 2015;2015:138979. https://doi.org/10.1155/2015/138979.</w:t>
      </w:r>
    </w:p>
    <w:p w14:paraId="1C743C6A"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[45]</w:t>
      </w:r>
      <w:r w:rsidRPr="00370C25">
        <w:rPr>
          <w:noProof/>
          <w:sz w:val="20"/>
        </w:rPr>
        <w:tab/>
        <w:t>Avdoshina V, Garzino-Demo A, Bachis A, Monaco MCG, Maki PM, Tractenberg RE, et al. HIV-1 decreases the levels of neurotrophins in human lymphocytes. AIDS 2011;25:1126–8. https://doi.org/10.1097/QAD.0b013e32834671b3.</w:t>
      </w:r>
    </w:p>
    <w:p w14:paraId="323E6369"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[46]</w:t>
      </w:r>
      <w:r w:rsidRPr="00370C25">
        <w:rPr>
          <w:noProof/>
          <w:sz w:val="20"/>
        </w:rPr>
        <w:tab/>
        <w:t>Mou T, Gao K-C, Chen X, Qian Q, Lin J, Zhang R, et al. Clinical events associated with poor CD4(+) T-cell recovery in people living with  HIV following ART: A systematic review and meta-analysis. J Infect 2025;90:106414. https://doi.org/10.1016/j.jinf.2025.106414.</w:t>
      </w:r>
    </w:p>
    <w:p w14:paraId="1E786FC4"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[47]</w:t>
      </w:r>
      <w:r w:rsidRPr="00370C25">
        <w:rPr>
          <w:noProof/>
          <w:sz w:val="20"/>
        </w:rPr>
        <w:tab/>
        <w:t>Baker J V, Peng G, Rapkin J, Abrams DI, Silverberg MJ, MacArthur RD, et al. CD4+ count and risk of non-AIDS diseases following initial treatment for HIV  infection. AIDS 2008;22:841–8. https://doi.org/10.1097/QAD.0b013e3282f7cb76.</w:t>
      </w:r>
    </w:p>
    <w:p w14:paraId="0D6463A9"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[48]</w:t>
      </w:r>
      <w:r w:rsidRPr="00370C25">
        <w:rPr>
          <w:noProof/>
          <w:sz w:val="20"/>
        </w:rPr>
        <w:tab/>
        <w:t>Lewden C, Bouteloup V, De Wit S, Sabin C, Mocroft A, Wasmuth JC, et al. All-cause mortality in treated HIV-infected adults with CD4 ≥500/mm3 compared  with the general population: evidence from a large European observational cohort collaboration. Int J Epidemiol 2012;41:433–45. https://doi.org/10.1093/ije/dyr164.</w:t>
      </w:r>
    </w:p>
    <w:p w14:paraId="5F4FF95F"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[49]</w:t>
      </w:r>
      <w:r w:rsidRPr="00370C25">
        <w:rPr>
          <w:noProof/>
          <w:sz w:val="20"/>
        </w:rPr>
        <w:tab/>
        <w:t>Li C-X, Li Y-Y, He L-P, Kou J, Bai J-S, Liu J, et al. The predictive role of CD4(+) cell count and CD4/CD8 ratio in immune  reconstitution outcome among HIV/AIDS patients receiving antiretroviral therapy: an eight-year observation in China. BMC Immunol 2019;20:31. https://doi.org/10.1186/s12865-019-0311-2.</w:t>
      </w:r>
    </w:p>
    <w:p w14:paraId="1A1EAD72"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[50]</w:t>
      </w:r>
      <w:r w:rsidRPr="00370C25">
        <w:rPr>
          <w:noProof/>
          <w:sz w:val="20"/>
        </w:rPr>
        <w:tab/>
        <w:t>Aloe L, Bracci-Laudiero L, Bonini S, Manni L. The expanding role of nerve growth factor: from neurotrophic activity to  immunologic diseases. Allergy 1997;52:883–94. https://doi.org/10.1111/j.1398-9995.1997.tb01247.x.</w:t>
      </w:r>
    </w:p>
    <w:p w14:paraId="25F0B287" w14:textId="77777777" w:rsidR="001A3285" w:rsidRPr="00370C25" w:rsidRDefault="001A3285" w:rsidP="001A3285">
      <w:pPr>
        <w:widowControl w:val="0"/>
        <w:autoSpaceDE w:val="0"/>
        <w:autoSpaceDN w:val="0"/>
        <w:adjustRightInd w:val="0"/>
        <w:spacing w:line="240" w:lineRule="atLeast"/>
        <w:ind w:left="640" w:hanging="640"/>
        <w:rPr>
          <w:noProof/>
          <w:sz w:val="20"/>
        </w:rPr>
      </w:pPr>
      <w:r w:rsidRPr="00370C25">
        <w:rPr>
          <w:noProof/>
          <w:sz w:val="20"/>
        </w:rPr>
        <w:t>[51]</w:t>
      </w:r>
      <w:r w:rsidRPr="00370C25">
        <w:rPr>
          <w:noProof/>
          <w:sz w:val="20"/>
        </w:rPr>
        <w:tab/>
        <w:t>Wood E, Hogg RS, Yip B, Moore D, Harrigan PR, Montaner JSG. Impact of baseline viral load and adherence on survival of HIV-infected adults  with baseline CD4 cell counts &gt; or = 200 cells/microl. AIDS 2006;20:1117–23. https://doi.org/10.1097/01.aids.0000226951.49353.ed.</w:t>
      </w:r>
    </w:p>
    <w:p w14:paraId="4637D1CA" w14:textId="5F95CF55" w:rsidR="00DC1C42" w:rsidRPr="00DC1C42" w:rsidRDefault="004268A2" w:rsidP="00DC1C42">
      <w:pPr>
        <w:shd w:val="clear" w:color="auto" w:fill="FFFFFF"/>
        <w:spacing w:line="293" w:lineRule="atLeast"/>
        <w:jc w:val="both"/>
        <w:rPr>
          <w:rFonts w:eastAsia="Times"/>
          <w:color w:val="A6A6A6"/>
          <w:sz w:val="20"/>
          <w:szCs w:val="20"/>
        </w:rPr>
      </w:pPr>
      <w:r w:rsidRPr="00370C25">
        <w:rPr>
          <w:rFonts w:eastAsia="Times"/>
          <w:color w:val="A6A6A6"/>
          <w:sz w:val="20"/>
          <w:szCs w:val="20"/>
        </w:rPr>
        <w:fldChar w:fldCharType="end"/>
      </w:r>
    </w:p>
    <w:p w14:paraId="6678100B" w14:textId="77777777" w:rsidR="00DC1C42" w:rsidRDefault="00DC1C42" w:rsidP="00DC1C42">
      <w:pPr>
        <w:rPr>
          <w:rFonts w:ascii="Times" w:hAnsi="Times"/>
          <w:sz w:val="20"/>
          <w:szCs w:val="20"/>
        </w:rPr>
      </w:pPr>
    </w:p>
    <w:p w14:paraId="319B20CD" w14:textId="4F0B104A" w:rsidR="00E5018A" w:rsidRPr="004268A2" w:rsidRDefault="00E5018A" w:rsidP="004268A2">
      <w:pPr>
        <w:pStyle w:val="05-ArticleText"/>
        <w:rPr>
          <w:color w:val="A6A6A6"/>
        </w:rPr>
        <w:sectPr w:rsidR="00E5018A" w:rsidRPr="004268A2" w:rsidSect="00C33410">
          <w:type w:val="continuous"/>
          <w:pgSz w:w="12240" w:h="15840"/>
          <w:pgMar w:top="1134" w:right="709" w:bottom="1134" w:left="1276" w:header="720" w:footer="964" w:gutter="0"/>
          <w:cols w:num="2" w:space="425"/>
          <w:titlePg/>
          <w:docGrid w:linePitch="360"/>
        </w:sectPr>
      </w:pPr>
    </w:p>
    <w:p w14:paraId="60BAE372" w14:textId="39BA0D40" w:rsidR="00C33410" w:rsidRDefault="00C33410" w:rsidP="00C33410">
      <w:pPr>
        <w:pStyle w:val="06-Heading-1"/>
        <w:rPr>
          <w:color w:val="333333"/>
          <w:sz w:val="21"/>
          <w:szCs w:val="21"/>
          <w:shd w:val="clear" w:color="auto" w:fill="FFFFFF"/>
        </w:rPr>
      </w:pPr>
    </w:p>
    <w:sectPr w:rsidR="00C33410" w:rsidSect="00C33410">
      <w:type w:val="continuous"/>
      <w:pgSz w:w="12240" w:h="15840"/>
      <w:pgMar w:top="1134" w:right="709" w:bottom="1134" w:left="1276" w:header="720" w:footer="964" w:gutter="0"/>
      <w:cols w:num="2"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1690" w14:textId="77777777" w:rsidR="00D905B2" w:rsidRDefault="00D905B2">
      <w:r>
        <w:separator/>
      </w:r>
    </w:p>
  </w:endnote>
  <w:endnote w:type="continuationSeparator" w:id="0">
    <w:p w14:paraId="00733CDD" w14:textId="77777777" w:rsidR="00D905B2" w:rsidRDefault="00D9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ta Bold LF">
    <w:altName w:val="Microsoft YaHei"/>
    <w:charset w:val="86"/>
    <w:family w:val="roman"/>
    <w:pitch w:val="default"/>
    <w:sig w:usb0="00000000" w:usb1="00000000" w:usb2="00000010" w:usb3="00000000" w:csb0="00040001" w:csb1="00000000"/>
  </w:font>
  <w:font w:name="Relay">
    <w:altName w:val="Microsoft YaHei"/>
    <w:panose1 w:val="00000000000000000000"/>
    <w:charset w:val="86"/>
    <w:family w:val="swiss"/>
    <w:notTrueType/>
    <w:pitch w:val="default"/>
    <w:sig w:usb0="00000003" w:usb1="080E0000" w:usb2="00000010"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ohit Devanagari">
    <w:charset w:val="01"/>
    <w:family w:val="auto"/>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eta Normal LF">
    <w:altName w:val="Malgun Gothic Semilight"/>
    <w:panose1 w:val="00000000000000000000"/>
    <w:charset w:val="86"/>
    <w:family w:val="roman"/>
    <w:notTrueType/>
    <w:pitch w:val="default"/>
    <w:sig w:usb0="00000000" w:usb1="080E0000" w:usb2="00000010" w:usb3="00000000" w:csb0="00040000" w:csb1="00000000"/>
  </w:font>
  <w:font w:name="DejaVu Sans">
    <w:altName w:val="Times New Roman"/>
    <w:charset w:val="00"/>
    <w:family w:val="swiss"/>
    <w:pitch w:val="variable"/>
  </w:font>
  <w:font w:name="PMingLiU">
    <w:altName w:val="新細明體"/>
    <w:panose1 w:val="02010601000101010101"/>
    <w:charset w:val="88"/>
    <w:family w:val="roman"/>
    <w:pitch w:val="variable"/>
    <w:sig w:usb0="A00002FF" w:usb1="28CFFCFA" w:usb2="00000016" w:usb3="00000000" w:csb0="00100001" w:csb1="00000000"/>
  </w:font>
  <w:font w:name="Helv">
    <w:panose1 w:val="020B060402020203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D927" w14:textId="2A47882C" w:rsidR="00C62F0F" w:rsidRDefault="00C62F0F">
    <w:pPr>
      <w:pStyle w:val="Pidipagina"/>
      <w:tabs>
        <w:tab w:val="clear" w:pos="4252"/>
        <w:tab w:val="right" w:pos="4900"/>
        <w:tab w:val="left" w:pos="5320"/>
      </w:tabs>
      <w:spacing w:before="240" w:after="360"/>
    </w:pPr>
    <w:r>
      <w:rPr>
        <w:rFonts w:ascii="Times New Roman" w:hAnsi="Times New Roman" w:cs="Times New Roman"/>
        <w:b/>
        <w:sz w:val="16"/>
      </w:rPr>
      <w:tab/>
    </w:r>
    <w:r w:rsidR="002C28BB">
      <w:rPr>
        <w:rFonts w:ascii="Times New Roman" w:hAnsi="Times New Roman" w:cs="Times New Roman"/>
        <w:b/>
        <w:sz w:val="16"/>
      </w:rPr>
      <w:t>XXXX</w:t>
    </w:r>
    <w:r>
      <w:rPr>
        <w:rFonts w:ascii="Times New Roman" w:hAnsi="Times New Roman" w:cs="Times New Roman"/>
        <w:b/>
        <w:sz w:val="16"/>
      </w:rPr>
      <w:t>-</w:t>
    </w:r>
    <w:r w:rsidR="002C28BB">
      <w:rPr>
        <w:rFonts w:ascii="Times New Roman" w:hAnsi="Times New Roman" w:cs="Times New Roman"/>
        <w:b/>
        <w:sz w:val="16"/>
      </w:rPr>
      <w:t>XXXX</w:t>
    </w:r>
    <w:r>
      <w:rPr>
        <w:rFonts w:ascii="Times New Roman" w:hAnsi="Times New Roman" w:cs="Times New Roman"/>
        <w:b/>
        <w:sz w:val="16"/>
      </w:rPr>
      <w:t>/</w:t>
    </w:r>
    <w:r w:rsidR="0092200E">
      <w:rPr>
        <w:rFonts w:ascii="Times New Roman" w:hAnsi="Times New Roman" w:cs="Times New Roman"/>
        <w:b/>
        <w:sz w:val="16"/>
      </w:rPr>
      <w:t>y</w:t>
    </w:r>
    <w:r w:rsidR="002C28BB">
      <w:rPr>
        <w:rFonts w:ascii="Times New Roman" w:hAnsi="Times New Roman" w:cs="Times New Roman"/>
        <w:b/>
        <w:sz w:val="16"/>
      </w:rPr>
      <w:t>ea</w:t>
    </w:r>
    <w:r w:rsidR="0092200E">
      <w:rPr>
        <w:rFonts w:ascii="Times New Roman" w:hAnsi="Times New Roman" w:cs="Times New Roman"/>
        <w:b/>
        <w:sz w:val="16"/>
      </w:rPr>
      <w:t>r</w:t>
    </w:r>
    <w:r>
      <w:rPr>
        <w:rFonts w:ascii="Times New Roman" w:hAnsi="Times New Roman" w:cs="Times New Roman"/>
        <w:b/>
        <w:sz w:val="16"/>
      </w:rPr>
      <w:t xml:space="preserve"> $</w:t>
    </w:r>
    <w:r w:rsidR="002C28BB">
      <w:rPr>
        <w:rFonts w:ascii="Times New Roman" w:hAnsi="Times New Roman" w:cs="Times New Roman"/>
        <w:b/>
        <w:sz w:val="16"/>
      </w:rPr>
      <w:t>XX</w:t>
    </w:r>
    <w:r>
      <w:rPr>
        <w:rFonts w:ascii="Times New Roman" w:hAnsi="Times New Roman" w:cs="Times New Roman"/>
        <w:b/>
        <w:sz w:val="16"/>
      </w:rPr>
      <w:t>.00+.00</w:t>
    </w:r>
    <w:r>
      <w:rPr>
        <w:rFonts w:ascii="Times New Roman" w:hAnsi="Times New Roman" w:cs="Times New Roman"/>
        <w:b/>
        <w:sz w:val="16"/>
      </w:rPr>
      <w:tab/>
      <w:t xml:space="preserve">© </w:t>
    </w:r>
    <w:r w:rsidR="0092200E">
      <w:rPr>
        <w:rFonts w:ascii="Times New Roman" w:hAnsi="Times New Roman" w:cs="Times New Roman"/>
        <w:b/>
        <w:sz w:val="16"/>
      </w:rPr>
      <w:t>Year</w:t>
    </w:r>
    <w:r>
      <w:rPr>
        <w:rFonts w:ascii="Times New Roman" w:hAnsi="Times New Roman" w:cs="Times New Roman"/>
        <w:b/>
        <w:sz w:val="16"/>
      </w:rPr>
      <w:t xml:space="preserve"> Bentham Science Publishers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9EFD" w14:textId="77777777" w:rsidR="00D905B2" w:rsidRDefault="00D905B2">
      <w:r>
        <w:separator/>
      </w:r>
    </w:p>
  </w:footnote>
  <w:footnote w:type="continuationSeparator" w:id="0">
    <w:p w14:paraId="47BB9E90" w14:textId="77777777" w:rsidR="00D905B2" w:rsidRDefault="00D90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7E53" w14:textId="6110C39B" w:rsidR="00C62F0F" w:rsidRDefault="00C62F0F">
    <w:pPr>
      <w:pStyle w:val="Intestazione"/>
      <w:tabs>
        <w:tab w:val="clear" w:pos="4320"/>
        <w:tab w:val="clear" w:pos="8640"/>
        <w:tab w:val="right" w:pos="10200"/>
      </w:tabs>
    </w:pPr>
    <w:r>
      <w:rPr>
        <w:b/>
        <w:sz w:val="16"/>
      </w:rPr>
      <w:fldChar w:fldCharType="begin"/>
    </w:r>
    <w:r>
      <w:rPr>
        <w:b/>
        <w:sz w:val="16"/>
      </w:rPr>
      <w:instrText xml:space="preserve"> PAGE </w:instrText>
    </w:r>
    <w:r>
      <w:rPr>
        <w:b/>
        <w:sz w:val="16"/>
      </w:rPr>
      <w:fldChar w:fldCharType="separate"/>
    </w:r>
    <w:r w:rsidR="002C28BB">
      <w:rPr>
        <w:b/>
        <w:noProof/>
        <w:sz w:val="16"/>
      </w:rPr>
      <w:t>2</w:t>
    </w:r>
    <w:r>
      <w:rPr>
        <w:b/>
        <w:sz w:val="16"/>
      </w:rPr>
      <w:fldChar w:fldCharType="end"/>
    </w:r>
    <w:r>
      <w:rPr>
        <w:b/>
        <w:sz w:val="16"/>
      </w:rPr>
      <w:t xml:space="preserve">    </w:t>
    </w:r>
    <w:r w:rsidR="0092200E">
      <w:rPr>
        <w:b/>
        <w:i/>
        <w:sz w:val="16"/>
      </w:rPr>
      <w:t>Title of the Journal</w:t>
    </w:r>
    <w:r>
      <w:rPr>
        <w:b/>
        <w:i/>
        <w:sz w:val="16"/>
      </w:rPr>
      <w:t xml:space="preserve">, </w:t>
    </w:r>
    <w:r w:rsidR="0092200E">
      <w:rPr>
        <w:b/>
        <w:sz w:val="16"/>
      </w:rPr>
      <w:t>Year</w:t>
    </w:r>
    <w:r>
      <w:rPr>
        <w:b/>
        <w:i/>
        <w:sz w:val="16"/>
      </w:rPr>
      <w:t>, Vol. 0, No. 0</w:t>
    </w:r>
    <w:r>
      <w:rPr>
        <w:b/>
        <w:i/>
        <w:sz w:val="16"/>
      </w:rPr>
      <w:tab/>
    </w:r>
    <w:proofErr w:type="gramStart"/>
    <w:r>
      <w:rPr>
        <w:b/>
        <w:i/>
        <w:sz w:val="16"/>
      </w:rPr>
      <w:t>Principle</w:t>
    </w:r>
    <w:proofErr w:type="gramEnd"/>
    <w:r>
      <w:rPr>
        <w:b/>
        <w:i/>
        <w:sz w:val="16"/>
      </w:rPr>
      <w:t xml:space="preserve"> Author</w:t>
    </w:r>
    <w:r>
      <w:rPr>
        <w:b/>
        <w:i/>
        <w:sz w:val="8"/>
      </w:rPr>
      <w:t xml:space="preserve"> </w:t>
    </w:r>
    <w:r>
      <w:rPr>
        <w:b/>
        <w:i/>
        <w:sz w:val="16"/>
      </w:rPr>
      <w:t>et al.</w:t>
    </w:r>
  </w:p>
  <w:p w14:paraId="0A07AF09" w14:textId="77777777" w:rsidR="006906E4" w:rsidRDefault="006906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53EA" w14:textId="2151BA43" w:rsidR="00C62F0F" w:rsidRDefault="009430FE">
    <w:pPr>
      <w:pStyle w:val="Intestazione"/>
      <w:tabs>
        <w:tab w:val="clear" w:pos="4320"/>
        <w:tab w:val="clear" w:pos="8640"/>
        <w:tab w:val="right" w:pos="10200"/>
      </w:tabs>
    </w:pPr>
    <w:r>
      <w:rPr>
        <w:b/>
        <w:bCs/>
        <w:i/>
        <w:sz w:val="16"/>
        <w:szCs w:val="28"/>
      </w:rPr>
      <w:t>Running Title</w:t>
    </w:r>
    <w:r w:rsidR="00C62F0F">
      <w:rPr>
        <w:sz w:val="16"/>
      </w:rPr>
      <w:tab/>
    </w:r>
    <w:proofErr w:type="spellStart"/>
    <w:r w:rsidR="003737B2">
      <w:rPr>
        <w:b/>
        <w:i/>
        <w:sz w:val="16"/>
      </w:rPr>
      <w:t>Title</w:t>
    </w:r>
    <w:proofErr w:type="spellEnd"/>
    <w:r w:rsidR="003737B2">
      <w:rPr>
        <w:b/>
        <w:i/>
        <w:sz w:val="16"/>
      </w:rPr>
      <w:t xml:space="preserve"> of the Journal</w:t>
    </w:r>
    <w:r w:rsidR="00C62F0F">
      <w:rPr>
        <w:b/>
        <w:i/>
        <w:sz w:val="16"/>
      </w:rPr>
      <w:t xml:space="preserve">, </w:t>
    </w:r>
    <w:r w:rsidR="003737B2">
      <w:rPr>
        <w:b/>
        <w:i/>
        <w:sz w:val="16"/>
      </w:rPr>
      <w:t>Year</w:t>
    </w:r>
    <w:r w:rsidR="00C62F0F">
      <w:rPr>
        <w:b/>
        <w:i/>
        <w:sz w:val="16"/>
      </w:rPr>
      <w:t xml:space="preserve">, Vol. 0, No. 0    </w:t>
    </w:r>
    <w:r w:rsidR="00C62F0F">
      <w:rPr>
        <w:b/>
        <w:sz w:val="16"/>
      </w:rPr>
      <w:fldChar w:fldCharType="begin"/>
    </w:r>
    <w:r w:rsidR="00C62F0F">
      <w:rPr>
        <w:b/>
        <w:sz w:val="16"/>
      </w:rPr>
      <w:instrText xml:space="preserve"> PAGE </w:instrText>
    </w:r>
    <w:r w:rsidR="00C62F0F">
      <w:rPr>
        <w:b/>
        <w:sz w:val="16"/>
      </w:rPr>
      <w:fldChar w:fldCharType="separate"/>
    </w:r>
    <w:r w:rsidR="002C28BB">
      <w:rPr>
        <w:b/>
        <w:noProof/>
        <w:sz w:val="16"/>
      </w:rPr>
      <w:t>3</w:t>
    </w:r>
    <w:r w:rsidR="00C62F0F">
      <w:rPr>
        <w:b/>
        <w:sz w:val="16"/>
      </w:rPr>
      <w:fldChar w:fldCharType="end"/>
    </w:r>
  </w:p>
  <w:p w14:paraId="3B8C9DF5" w14:textId="77777777" w:rsidR="006906E4" w:rsidRDefault="006906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7D2E" w14:textId="77777777" w:rsidR="00C62F0F" w:rsidRDefault="00C62F0F">
    <w:pPr>
      <w:pStyle w:val="Intestazione"/>
      <w:tabs>
        <w:tab w:val="clear" w:pos="4320"/>
        <w:tab w:val="clear" w:pos="8640"/>
        <w:tab w:val="center" w:pos="5100"/>
        <w:tab w:val="right" w:pos="10200"/>
      </w:tabs>
      <w:spacing w:after="100" w:line="180" w:lineRule="exact"/>
      <w:jc w:val="right"/>
    </w:pPr>
    <w:r>
      <w:rPr>
        <w:b/>
        <w:i/>
        <w:sz w:val="18"/>
        <w:shd w:val="clear" w:color="auto" w:fill="CCCCCC"/>
      </w:rPr>
      <w:t>Send Orders for Reprints to reprints@benthamscience.</w:t>
    </w:r>
    <w:r>
      <w:rPr>
        <w:b/>
        <w:i/>
        <w:color w:val="000000"/>
        <w:sz w:val="18"/>
        <w:shd w:val="clear" w:color="auto" w:fill="CCCCCC"/>
      </w:rPr>
      <w:t>net</w:t>
    </w:r>
  </w:p>
  <w:p w14:paraId="3C744A04" w14:textId="66C2C2C1" w:rsidR="00C62F0F" w:rsidRDefault="00C62F0F">
    <w:pPr>
      <w:pStyle w:val="Intestazione"/>
      <w:tabs>
        <w:tab w:val="clear" w:pos="4320"/>
        <w:tab w:val="clear" w:pos="8640"/>
        <w:tab w:val="center" w:pos="5100"/>
        <w:tab w:val="right" w:pos="10200"/>
      </w:tabs>
      <w:spacing w:after="240"/>
    </w:pPr>
    <w:r>
      <w:rPr>
        <w:b/>
        <w:i/>
        <w:sz w:val="16"/>
      </w:rPr>
      <w:tab/>
    </w:r>
    <w:r w:rsidR="00EB41D0">
      <w:rPr>
        <w:b/>
        <w:i/>
        <w:sz w:val="16"/>
      </w:rPr>
      <w:t>Title of the Journal</w:t>
    </w:r>
    <w:r>
      <w:rPr>
        <w:b/>
        <w:i/>
        <w:sz w:val="16"/>
      </w:rPr>
      <w:t xml:space="preserve">, </w:t>
    </w:r>
    <w:r w:rsidR="00EB41D0">
      <w:rPr>
        <w:b/>
        <w:i/>
        <w:sz w:val="16"/>
      </w:rPr>
      <w:t>Year</w:t>
    </w:r>
    <w:r>
      <w:rPr>
        <w:b/>
        <w:sz w:val="16"/>
      </w:rPr>
      <w:t>,</w:t>
    </w:r>
    <w:r>
      <w:rPr>
        <w:b/>
        <w:i/>
        <w:sz w:val="16"/>
      </w:rPr>
      <w:t xml:space="preserve"> Volume, Pagination</w:t>
    </w:r>
    <w:r>
      <w:rPr>
        <w:b/>
        <w:i/>
        <w:sz w:val="16"/>
      </w:rPr>
      <w:tab/>
    </w:r>
    <w:r>
      <w:rPr>
        <w:rStyle w:val="Numeropagina"/>
        <w:b/>
        <w:sz w:val="16"/>
      </w:rPr>
      <w:fldChar w:fldCharType="begin"/>
    </w:r>
    <w:r>
      <w:rPr>
        <w:rStyle w:val="Numeropagina"/>
        <w:b/>
        <w:sz w:val="16"/>
      </w:rPr>
      <w:instrText xml:space="preserve"> PAGE </w:instrText>
    </w:r>
    <w:r>
      <w:rPr>
        <w:rStyle w:val="Numeropagina"/>
        <w:b/>
        <w:sz w:val="16"/>
      </w:rPr>
      <w:fldChar w:fldCharType="separate"/>
    </w:r>
    <w:r w:rsidR="002C28BB">
      <w:rPr>
        <w:rStyle w:val="Numeropagina"/>
        <w:b/>
        <w:noProof/>
        <w:sz w:val="16"/>
      </w:rPr>
      <w:t>1</w:t>
    </w:r>
    <w:r>
      <w:rPr>
        <w:rStyle w:val="Numeropagina"/>
        <w:b/>
        <w:sz w:val="16"/>
      </w:rPr>
      <w:fldChar w:fldCharType="end"/>
    </w:r>
  </w:p>
  <w:p w14:paraId="6969D8FE" w14:textId="77777777" w:rsidR="006906E4" w:rsidRDefault="006906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62A5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Titolo1"/>
      <w:suff w:val="nothing"/>
      <w:lvlText w:val=""/>
      <w:lvlJc w:val="left"/>
      <w:pPr>
        <w:tabs>
          <w:tab w:val="num" w:pos="-1080"/>
        </w:tabs>
        <w:ind w:left="-1080" w:firstLine="0"/>
      </w:pPr>
    </w:lvl>
    <w:lvl w:ilvl="1">
      <w:start w:val="1"/>
      <w:numFmt w:val="none"/>
      <w:pStyle w:val="Titolo2"/>
      <w:suff w:val="nothing"/>
      <w:lvlText w:val=""/>
      <w:lvlJc w:val="left"/>
      <w:pPr>
        <w:tabs>
          <w:tab w:val="num" w:pos="-1080"/>
        </w:tabs>
        <w:ind w:left="-1080" w:firstLine="0"/>
      </w:pPr>
    </w:lvl>
    <w:lvl w:ilvl="2">
      <w:start w:val="1"/>
      <w:numFmt w:val="none"/>
      <w:pStyle w:val="Titolo3"/>
      <w:suff w:val="nothing"/>
      <w:lvlText w:val=""/>
      <w:lvlJc w:val="left"/>
      <w:pPr>
        <w:tabs>
          <w:tab w:val="num" w:pos="-1080"/>
        </w:tabs>
        <w:ind w:left="-1080" w:firstLine="0"/>
      </w:pPr>
    </w:lvl>
    <w:lvl w:ilvl="3">
      <w:start w:val="1"/>
      <w:numFmt w:val="none"/>
      <w:pStyle w:val="Titolo4"/>
      <w:suff w:val="nothing"/>
      <w:lvlText w:val=""/>
      <w:lvlJc w:val="left"/>
      <w:pPr>
        <w:tabs>
          <w:tab w:val="num" w:pos="-1080"/>
        </w:tabs>
        <w:ind w:left="-1080" w:firstLine="0"/>
      </w:pPr>
    </w:lvl>
    <w:lvl w:ilvl="4">
      <w:start w:val="1"/>
      <w:numFmt w:val="none"/>
      <w:pStyle w:val="Titolo5"/>
      <w:suff w:val="nothing"/>
      <w:lvlText w:val=""/>
      <w:lvlJc w:val="left"/>
      <w:pPr>
        <w:tabs>
          <w:tab w:val="num" w:pos="-1080"/>
        </w:tabs>
        <w:ind w:left="-1080" w:firstLine="0"/>
      </w:pPr>
    </w:lvl>
    <w:lvl w:ilvl="5">
      <w:start w:val="1"/>
      <w:numFmt w:val="none"/>
      <w:pStyle w:val="Titolo6"/>
      <w:suff w:val="nothing"/>
      <w:lvlText w:val=""/>
      <w:lvlJc w:val="left"/>
      <w:pPr>
        <w:tabs>
          <w:tab w:val="num" w:pos="-1080"/>
        </w:tabs>
        <w:ind w:left="-1080" w:firstLine="0"/>
      </w:pPr>
    </w:lvl>
    <w:lvl w:ilvl="6">
      <w:start w:val="1"/>
      <w:numFmt w:val="none"/>
      <w:suff w:val="nothing"/>
      <w:lvlText w:val=""/>
      <w:lvlJc w:val="left"/>
      <w:pPr>
        <w:tabs>
          <w:tab w:val="num" w:pos="-1080"/>
        </w:tabs>
        <w:ind w:left="-1080" w:firstLine="0"/>
      </w:pPr>
    </w:lvl>
    <w:lvl w:ilvl="7">
      <w:start w:val="1"/>
      <w:numFmt w:val="none"/>
      <w:suff w:val="nothing"/>
      <w:lvlText w:val=""/>
      <w:lvlJc w:val="left"/>
      <w:pPr>
        <w:tabs>
          <w:tab w:val="num" w:pos="-1080"/>
        </w:tabs>
        <w:ind w:left="-1080" w:firstLine="0"/>
      </w:pPr>
    </w:lvl>
    <w:lvl w:ilvl="8">
      <w:start w:val="1"/>
      <w:numFmt w:val="none"/>
      <w:suff w:val="nothing"/>
      <w:lvlText w:val=""/>
      <w:lvlJc w:val="left"/>
      <w:pPr>
        <w:tabs>
          <w:tab w:val="num" w:pos="-1080"/>
        </w:tabs>
        <w:ind w:left="-1080" w:firstLine="0"/>
      </w:pPr>
    </w:lvl>
  </w:abstractNum>
  <w:abstractNum w:abstractNumId="2" w15:restartNumberingAfterBreak="0">
    <w:nsid w:val="00000002"/>
    <w:multiLevelType w:val="singleLevel"/>
    <w:tmpl w:val="00000002"/>
    <w:name w:val="WW8Num1"/>
    <w:lvl w:ilvl="0">
      <w:start w:val="1"/>
      <w:numFmt w:val="bullet"/>
      <w:pStyle w:val="Puntoelenco"/>
      <w:lvlText w:val=""/>
      <w:lvlJc w:val="left"/>
      <w:pPr>
        <w:tabs>
          <w:tab w:val="num" w:pos="360"/>
        </w:tabs>
        <w:ind w:left="360" w:hanging="360"/>
      </w:pPr>
      <w:rPr>
        <w:rFonts w:ascii="Symbol" w:hAnsi="Symbol" w:cs="Batang" w:hint="default"/>
      </w:rPr>
    </w:lvl>
  </w:abstractNum>
  <w:abstractNum w:abstractNumId="3"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4" w15:restartNumberingAfterBreak="0">
    <w:nsid w:val="00000004"/>
    <w:multiLevelType w:val="multilevel"/>
    <w:tmpl w:val="00000004"/>
    <w:name w:val="WW8Num3"/>
    <w:lvl w:ilvl="0">
      <w:start w:val="1"/>
      <w:numFmt w:val="bullet"/>
      <w:lvlText w:val=""/>
      <w:lvlJc w:val="left"/>
      <w:pPr>
        <w:tabs>
          <w:tab w:val="num" w:pos="720"/>
        </w:tabs>
        <w:ind w:left="720" w:hanging="360"/>
      </w:pPr>
      <w:rPr>
        <w:rFonts w:ascii="Symbol" w:hAnsi="Symbol" w:cs="Batang"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5"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6" w15:restartNumberingAfterBreak="0">
    <w:nsid w:val="00000006"/>
    <w:multiLevelType w:val="singleLevel"/>
    <w:tmpl w:val="B572488C"/>
    <w:name w:val="WW8Num5"/>
    <w:lvl w:ilvl="0">
      <w:start w:val="1"/>
      <w:numFmt w:val="lowerLetter"/>
      <w:lvlText w:val="%1)"/>
      <w:lvlJc w:val="left"/>
      <w:pPr>
        <w:tabs>
          <w:tab w:val="num" w:pos="0"/>
        </w:tabs>
        <w:ind w:left="1440" w:hanging="360"/>
      </w:pPr>
      <w:rPr>
        <w:b/>
        <w:color w:val="000000"/>
      </w:rPr>
    </w:lvl>
  </w:abstractNum>
  <w:abstractNum w:abstractNumId="7" w15:restartNumberingAfterBreak="0">
    <w:nsid w:val="00000007"/>
    <w:multiLevelType w:val="multilevel"/>
    <w:tmpl w:val="00000007"/>
    <w:name w:val="WW8Num6"/>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8" w15:restartNumberingAfterBreak="0">
    <w:nsid w:val="00000008"/>
    <w:multiLevelType w:val="multilevel"/>
    <w:tmpl w:val="00000008"/>
    <w:name w:val="WW8Num7"/>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9" w15:restartNumberingAfterBreak="0">
    <w:nsid w:val="00000009"/>
    <w:multiLevelType w:val="multilevel"/>
    <w:tmpl w:val="00000009"/>
    <w:name w:val="WW8Num8"/>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0" w15:restartNumberingAfterBreak="0">
    <w:nsid w:val="0000000A"/>
    <w:multiLevelType w:val="singleLevel"/>
    <w:tmpl w:val="0000000A"/>
    <w:name w:val="WW8Num9"/>
    <w:lvl w:ilvl="0">
      <w:start w:val="1"/>
      <w:numFmt w:val="decimal"/>
      <w:pStyle w:val="ColorfulList-Accent11"/>
      <w:lvlText w:val="%1."/>
      <w:lvlJc w:val="left"/>
      <w:pPr>
        <w:tabs>
          <w:tab w:val="num" w:pos="0"/>
        </w:tabs>
        <w:ind w:left="720" w:hanging="360"/>
      </w:pPr>
    </w:lvl>
  </w:abstractNum>
  <w:abstractNum w:abstractNumId="11" w15:restartNumberingAfterBreak="0">
    <w:nsid w:val="0000000B"/>
    <w:multiLevelType w:val="multilevel"/>
    <w:tmpl w:val="0000000B"/>
    <w:name w:val="WW8Num10"/>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2" w15:restartNumberingAfterBreak="0">
    <w:nsid w:val="0000000C"/>
    <w:multiLevelType w:val="multilevel"/>
    <w:tmpl w:val="0000000C"/>
    <w:name w:val="WW8Num11"/>
    <w:lvl w:ilvl="0">
      <w:start w:val="1"/>
      <w:numFmt w:val="bullet"/>
      <w:lvlText w:val=""/>
      <w:lvlJc w:val="left"/>
      <w:pPr>
        <w:tabs>
          <w:tab w:val="num" w:pos="720"/>
        </w:tabs>
        <w:ind w:left="720" w:hanging="360"/>
      </w:pPr>
      <w:rPr>
        <w:rFonts w:ascii="Symbol" w:hAnsi="Symbol" w:cs="Batang" w:hint="default"/>
        <w:sz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3" w15:restartNumberingAfterBreak="0">
    <w:nsid w:val="0000000D"/>
    <w:multiLevelType w:val="multilevel"/>
    <w:tmpl w:val="0000000D"/>
    <w:name w:val="WW8Num12"/>
    <w:lvl w:ilvl="0">
      <w:start w:val="1"/>
      <w:numFmt w:val="bullet"/>
      <w:lvlText w:val=""/>
      <w:lvlJc w:val="left"/>
      <w:pPr>
        <w:tabs>
          <w:tab w:val="num" w:pos="720"/>
        </w:tabs>
        <w:ind w:left="720" w:hanging="360"/>
      </w:pPr>
      <w:rPr>
        <w:rFonts w:ascii="Symbol" w:hAnsi="Symbol" w:cs="Batang" w:hint="default"/>
        <w:sz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4"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5" w15:restartNumberingAfterBreak="0">
    <w:nsid w:val="0000000F"/>
    <w:multiLevelType w:val="multilevel"/>
    <w:tmpl w:val="0000000F"/>
    <w:name w:val="WW8Num14"/>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6" w15:restartNumberingAfterBreak="0">
    <w:nsid w:val="00000010"/>
    <w:multiLevelType w:val="singleLevel"/>
    <w:tmpl w:val="00000010"/>
    <w:name w:val="WW8Num15"/>
    <w:lvl w:ilvl="0">
      <w:start w:val="1"/>
      <w:numFmt w:val="bullet"/>
      <w:lvlText w:val=""/>
      <w:lvlJc w:val="left"/>
      <w:pPr>
        <w:tabs>
          <w:tab w:val="num" w:pos="720"/>
        </w:tabs>
        <w:ind w:left="720" w:hanging="360"/>
      </w:pPr>
      <w:rPr>
        <w:rFonts w:ascii="Symbol" w:hAnsi="Symbol" w:cs="Batang" w:hint="default"/>
      </w:rPr>
    </w:lvl>
  </w:abstractNum>
  <w:abstractNum w:abstractNumId="17" w15:restartNumberingAfterBreak="0">
    <w:nsid w:val="084F5E0C"/>
    <w:multiLevelType w:val="multilevel"/>
    <w:tmpl w:val="91B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611A7D"/>
    <w:multiLevelType w:val="multilevel"/>
    <w:tmpl w:val="CC06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826E52"/>
    <w:multiLevelType w:val="multilevel"/>
    <w:tmpl w:val="416C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8105B7"/>
    <w:multiLevelType w:val="multilevel"/>
    <w:tmpl w:val="E82C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896021"/>
    <w:multiLevelType w:val="multilevel"/>
    <w:tmpl w:val="52D6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63A87"/>
    <w:multiLevelType w:val="hybridMultilevel"/>
    <w:tmpl w:val="BE06A0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CE7534"/>
    <w:multiLevelType w:val="multilevel"/>
    <w:tmpl w:val="146A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1C41B7"/>
    <w:multiLevelType w:val="multilevel"/>
    <w:tmpl w:val="ACEE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F2752"/>
    <w:multiLevelType w:val="multilevel"/>
    <w:tmpl w:val="5D0A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915238">
    <w:abstractNumId w:val="1"/>
  </w:num>
  <w:num w:numId="2" w16cid:durableId="620114560">
    <w:abstractNumId w:val="2"/>
  </w:num>
  <w:num w:numId="3" w16cid:durableId="572740109">
    <w:abstractNumId w:val="3"/>
  </w:num>
  <w:num w:numId="4" w16cid:durableId="2109034179">
    <w:abstractNumId w:val="4"/>
  </w:num>
  <w:num w:numId="5" w16cid:durableId="1882936087">
    <w:abstractNumId w:val="5"/>
  </w:num>
  <w:num w:numId="6" w16cid:durableId="1626230618">
    <w:abstractNumId w:val="6"/>
  </w:num>
  <w:num w:numId="7" w16cid:durableId="928539859">
    <w:abstractNumId w:val="7"/>
  </w:num>
  <w:num w:numId="8" w16cid:durableId="2023822449">
    <w:abstractNumId w:val="8"/>
  </w:num>
  <w:num w:numId="9" w16cid:durableId="639959772">
    <w:abstractNumId w:val="9"/>
  </w:num>
  <w:num w:numId="10" w16cid:durableId="841046958">
    <w:abstractNumId w:val="10"/>
  </w:num>
  <w:num w:numId="11" w16cid:durableId="417212368">
    <w:abstractNumId w:val="11"/>
  </w:num>
  <w:num w:numId="12" w16cid:durableId="1001617401">
    <w:abstractNumId w:val="12"/>
  </w:num>
  <w:num w:numId="13" w16cid:durableId="954629877">
    <w:abstractNumId w:val="13"/>
  </w:num>
  <w:num w:numId="14" w16cid:durableId="690037609">
    <w:abstractNumId w:val="14"/>
  </w:num>
  <w:num w:numId="15" w16cid:durableId="1520847165">
    <w:abstractNumId w:val="15"/>
  </w:num>
  <w:num w:numId="16" w16cid:durableId="1363897721">
    <w:abstractNumId w:val="16"/>
  </w:num>
  <w:num w:numId="17" w16cid:durableId="1622883207">
    <w:abstractNumId w:val="23"/>
  </w:num>
  <w:num w:numId="18" w16cid:durableId="335379175">
    <w:abstractNumId w:val="25"/>
  </w:num>
  <w:num w:numId="19" w16cid:durableId="1907757203">
    <w:abstractNumId w:val="18"/>
  </w:num>
  <w:num w:numId="20" w16cid:durableId="1788231392">
    <w:abstractNumId w:val="21"/>
  </w:num>
  <w:num w:numId="21" w16cid:durableId="169761346">
    <w:abstractNumId w:val="24"/>
  </w:num>
  <w:num w:numId="22" w16cid:durableId="1671760509">
    <w:abstractNumId w:val="17"/>
  </w:num>
  <w:num w:numId="23" w16cid:durableId="272565792">
    <w:abstractNumId w:val="19"/>
  </w:num>
  <w:num w:numId="24" w16cid:durableId="1981811821">
    <w:abstractNumId w:val="20"/>
  </w:num>
  <w:num w:numId="25" w16cid:durableId="403917999">
    <w:abstractNumId w:val="22"/>
  </w:num>
  <w:num w:numId="26" w16cid:durableId="96488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hyphenationZone w:val="283"/>
  <w:defaultTableStyle w:val="Normale"/>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80"/>
    <w:rsid w:val="0001159F"/>
    <w:rsid w:val="00026962"/>
    <w:rsid w:val="0009277F"/>
    <w:rsid w:val="000945B8"/>
    <w:rsid w:val="00095F9A"/>
    <w:rsid w:val="000B7BE7"/>
    <w:rsid w:val="000C15D5"/>
    <w:rsid w:val="000D5C37"/>
    <w:rsid w:val="000D6F71"/>
    <w:rsid w:val="000F019E"/>
    <w:rsid w:val="00100C23"/>
    <w:rsid w:val="00106A57"/>
    <w:rsid w:val="00192712"/>
    <w:rsid w:val="001A3285"/>
    <w:rsid w:val="001D430A"/>
    <w:rsid w:val="001D5A79"/>
    <w:rsid w:val="001F319B"/>
    <w:rsid w:val="00222875"/>
    <w:rsid w:val="0026214C"/>
    <w:rsid w:val="00290940"/>
    <w:rsid w:val="002A46F0"/>
    <w:rsid w:val="002C28BB"/>
    <w:rsid w:val="002C3563"/>
    <w:rsid w:val="002D6E6B"/>
    <w:rsid w:val="002E1C96"/>
    <w:rsid w:val="002E24F4"/>
    <w:rsid w:val="00302346"/>
    <w:rsid w:val="003060A3"/>
    <w:rsid w:val="0032211B"/>
    <w:rsid w:val="00347B42"/>
    <w:rsid w:val="00352F04"/>
    <w:rsid w:val="00370C25"/>
    <w:rsid w:val="003737B2"/>
    <w:rsid w:val="0037520B"/>
    <w:rsid w:val="00376E72"/>
    <w:rsid w:val="00385EA7"/>
    <w:rsid w:val="00392B95"/>
    <w:rsid w:val="003A745A"/>
    <w:rsid w:val="003C422E"/>
    <w:rsid w:val="003D7E2A"/>
    <w:rsid w:val="004268A2"/>
    <w:rsid w:val="004309D6"/>
    <w:rsid w:val="0044055D"/>
    <w:rsid w:val="00442CDF"/>
    <w:rsid w:val="00463667"/>
    <w:rsid w:val="00464D61"/>
    <w:rsid w:val="004A4216"/>
    <w:rsid w:val="004C73FF"/>
    <w:rsid w:val="004D6027"/>
    <w:rsid w:val="00514214"/>
    <w:rsid w:val="0051579B"/>
    <w:rsid w:val="00520038"/>
    <w:rsid w:val="0052579B"/>
    <w:rsid w:val="00534558"/>
    <w:rsid w:val="005373D3"/>
    <w:rsid w:val="00551166"/>
    <w:rsid w:val="00552CBA"/>
    <w:rsid w:val="005917EA"/>
    <w:rsid w:val="005A1591"/>
    <w:rsid w:val="005A2C4A"/>
    <w:rsid w:val="005A6D81"/>
    <w:rsid w:val="005B24EF"/>
    <w:rsid w:val="005C19DE"/>
    <w:rsid w:val="00600EBB"/>
    <w:rsid w:val="006239CE"/>
    <w:rsid w:val="006317A4"/>
    <w:rsid w:val="00656BB9"/>
    <w:rsid w:val="006906E4"/>
    <w:rsid w:val="00694108"/>
    <w:rsid w:val="006C2178"/>
    <w:rsid w:val="006D7B6E"/>
    <w:rsid w:val="006E2290"/>
    <w:rsid w:val="006F0485"/>
    <w:rsid w:val="00706AE1"/>
    <w:rsid w:val="00731579"/>
    <w:rsid w:val="007373B1"/>
    <w:rsid w:val="007405E6"/>
    <w:rsid w:val="00750C6F"/>
    <w:rsid w:val="00757FA3"/>
    <w:rsid w:val="007729C1"/>
    <w:rsid w:val="00774FE9"/>
    <w:rsid w:val="00786943"/>
    <w:rsid w:val="00845FD4"/>
    <w:rsid w:val="00875675"/>
    <w:rsid w:val="008E0831"/>
    <w:rsid w:val="008F4306"/>
    <w:rsid w:val="008F4350"/>
    <w:rsid w:val="00912DB3"/>
    <w:rsid w:val="00916631"/>
    <w:rsid w:val="00917031"/>
    <w:rsid w:val="0092200E"/>
    <w:rsid w:val="0093184E"/>
    <w:rsid w:val="00933CD7"/>
    <w:rsid w:val="009430FE"/>
    <w:rsid w:val="00971142"/>
    <w:rsid w:val="00980A55"/>
    <w:rsid w:val="00980F80"/>
    <w:rsid w:val="009948B3"/>
    <w:rsid w:val="00997235"/>
    <w:rsid w:val="009A13E9"/>
    <w:rsid w:val="009A4041"/>
    <w:rsid w:val="009D1AF1"/>
    <w:rsid w:val="009F6B4B"/>
    <w:rsid w:val="00A1679F"/>
    <w:rsid w:val="00A17E2A"/>
    <w:rsid w:val="00A20DF2"/>
    <w:rsid w:val="00A55877"/>
    <w:rsid w:val="00A67300"/>
    <w:rsid w:val="00A73289"/>
    <w:rsid w:val="00AA4A50"/>
    <w:rsid w:val="00AF02DC"/>
    <w:rsid w:val="00B002C2"/>
    <w:rsid w:val="00B31E46"/>
    <w:rsid w:val="00B55705"/>
    <w:rsid w:val="00B654D5"/>
    <w:rsid w:val="00B80BC4"/>
    <w:rsid w:val="00B82579"/>
    <w:rsid w:val="00BB602D"/>
    <w:rsid w:val="00BD1B2E"/>
    <w:rsid w:val="00C0460F"/>
    <w:rsid w:val="00C07263"/>
    <w:rsid w:val="00C33410"/>
    <w:rsid w:val="00C37471"/>
    <w:rsid w:val="00C53311"/>
    <w:rsid w:val="00C62F0F"/>
    <w:rsid w:val="00C71A35"/>
    <w:rsid w:val="00C72E5B"/>
    <w:rsid w:val="00C752B8"/>
    <w:rsid w:val="00CA60EF"/>
    <w:rsid w:val="00CD181F"/>
    <w:rsid w:val="00D21718"/>
    <w:rsid w:val="00D250A9"/>
    <w:rsid w:val="00D303B0"/>
    <w:rsid w:val="00D30EAC"/>
    <w:rsid w:val="00D444AE"/>
    <w:rsid w:val="00D62B94"/>
    <w:rsid w:val="00D64430"/>
    <w:rsid w:val="00D704B4"/>
    <w:rsid w:val="00D712F9"/>
    <w:rsid w:val="00D905B2"/>
    <w:rsid w:val="00D94F81"/>
    <w:rsid w:val="00DA6071"/>
    <w:rsid w:val="00DC1C42"/>
    <w:rsid w:val="00DD2330"/>
    <w:rsid w:val="00DD31F6"/>
    <w:rsid w:val="00DF7AF7"/>
    <w:rsid w:val="00E03870"/>
    <w:rsid w:val="00E06B81"/>
    <w:rsid w:val="00E30528"/>
    <w:rsid w:val="00E5018A"/>
    <w:rsid w:val="00E55264"/>
    <w:rsid w:val="00E70AF5"/>
    <w:rsid w:val="00E822DF"/>
    <w:rsid w:val="00E8637C"/>
    <w:rsid w:val="00EB002C"/>
    <w:rsid w:val="00EB41D0"/>
    <w:rsid w:val="00F057A9"/>
    <w:rsid w:val="00F06B9E"/>
    <w:rsid w:val="00F1496B"/>
    <w:rsid w:val="00F16796"/>
    <w:rsid w:val="00F24B24"/>
    <w:rsid w:val="00F35BA4"/>
    <w:rsid w:val="00F42807"/>
    <w:rsid w:val="00F50E41"/>
    <w:rsid w:val="00F5547E"/>
    <w:rsid w:val="00F57CCE"/>
    <w:rsid w:val="00F9350D"/>
    <w:rsid w:val="00F96305"/>
    <w:rsid w:val="00FA183D"/>
    <w:rsid w:val="00FB38B4"/>
    <w:rsid w:val="00FB7F59"/>
    <w:rsid w:val="00FF0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B8468DD"/>
  <w14:defaultImageDpi w14:val="300"/>
  <w15:docId w15:val="{B59A84C9-02C3-4C9A-827E-23F559DF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zh-CN"/>
    </w:rPr>
  </w:style>
  <w:style w:type="paragraph" w:styleId="Titolo1">
    <w:name w:val="heading 1"/>
    <w:basedOn w:val="Normale"/>
    <w:next w:val="Corpotesto"/>
    <w:qFormat/>
    <w:pPr>
      <w:numPr>
        <w:numId w:val="1"/>
      </w:numPr>
      <w:spacing w:before="280" w:after="280"/>
      <w:outlineLvl w:val="0"/>
    </w:pPr>
    <w:rPr>
      <w:rFonts w:eastAsia="Batang"/>
      <w:b/>
      <w:bCs/>
      <w:kern w:val="2"/>
      <w:sz w:val="48"/>
      <w:szCs w:val="48"/>
    </w:rPr>
  </w:style>
  <w:style w:type="paragraph" w:styleId="Titolo2">
    <w:name w:val="heading 2"/>
    <w:basedOn w:val="Normale"/>
    <w:next w:val="Normale"/>
    <w:qFormat/>
    <w:pPr>
      <w:keepNext/>
      <w:numPr>
        <w:ilvl w:val="1"/>
        <w:numId w:val="1"/>
      </w:numPr>
      <w:spacing w:before="240" w:after="60"/>
      <w:outlineLvl w:val="1"/>
    </w:pPr>
    <w:rPr>
      <w:rFonts w:ascii="Cambria" w:hAnsi="Cambria" w:cs="Cambria"/>
      <w:b/>
      <w:bCs/>
      <w:i/>
      <w:iCs/>
      <w:sz w:val="28"/>
      <w:szCs w:val="28"/>
    </w:rPr>
  </w:style>
  <w:style w:type="paragraph" w:styleId="Titolo3">
    <w:name w:val="heading 3"/>
    <w:basedOn w:val="Normale"/>
    <w:next w:val="Corpotesto"/>
    <w:qFormat/>
    <w:pPr>
      <w:numPr>
        <w:ilvl w:val="2"/>
        <w:numId w:val="1"/>
      </w:numPr>
      <w:spacing w:before="280" w:after="280"/>
      <w:outlineLvl w:val="2"/>
    </w:pPr>
    <w:rPr>
      <w:rFonts w:eastAsia="Batang"/>
      <w:b/>
      <w:bCs/>
      <w:sz w:val="27"/>
      <w:szCs w:val="27"/>
    </w:rPr>
  </w:style>
  <w:style w:type="paragraph" w:styleId="Titolo4">
    <w:name w:val="heading 4"/>
    <w:basedOn w:val="Normale"/>
    <w:next w:val="Normale"/>
    <w:qFormat/>
    <w:pPr>
      <w:keepNext/>
      <w:widowControl w:val="0"/>
      <w:numPr>
        <w:ilvl w:val="3"/>
        <w:numId w:val="1"/>
      </w:numPr>
      <w:autoSpaceDE w:val="0"/>
      <w:spacing w:before="240" w:after="60"/>
      <w:outlineLvl w:val="3"/>
    </w:pPr>
    <w:rPr>
      <w:rFonts w:ascii="Times" w:eastAsia="Batang" w:hAnsi="Times" w:cs="Times"/>
      <w:b/>
      <w:bCs/>
      <w:lang w:eastAsia="en-US"/>
    </w:rPr>
  </w:style>
  <w:style w:type="paragraph" w:styleId="Titolo5">
    <w:name w:val="heading 5"/>
    <w:basedOn w:val="Normale"/>
    <w:next w:val="Normale"/>
    <w:qFormat/>
    <w:pPr>
      <w:keepNext/>
      <w:widowControl w:val="0"/>
      <w:numPr>
        <w:ilvl w:val="4"/>
        <w:numId w:val="1"/>
      </w:numPr>
      <w:autoSpaceDE w:val="0"/>
      <w:spacing w:before="240" w:after="60"/>
      <w:outlineLvl w:val="4"/>
    </w:pPr>
    <w:rPr>
      <w:rFonts w:ascii="Times" w:eastAsia="Batang" w:hAnsi="Times" w:cs="Times"/>
      <w:b/>
      <w:bCs/>
      <w:lang w:eastAsia="en-US"/>
    </w:rPr>
  </w:style>
  <w:style w:type="paragraph" w:styleId="Titolo6">
    <w:name w:val="heading 6"/>
    <w:basedOn w:val="Normale"/>
    <w:next w:val="Normale"/>
    <w:qFormat/>
    <w:pPr>
      <w:keepNext/>
      <w:widowControl w:val="0"/>
      <w:numPr>
        <w:ilvl w:val="5"/>
        <w:numId w:val="1"/>
      </w:numPr>
      <w:autoSpaceDE w:val="0"/>
      <w:spacing w:before="240" w:after="60"/>
      <w:outlineLvl w:val="5"/>
    </w:pPr>
    <w:rPr>
      <w:rFonts w:ascii="Times" w:eastAsia="Batang" w:hAnsi="Times" w:cs="Times"/>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Symbol" w:hAnsi="Symbol" w:cs="Symbol" w:hint="default"/>
      <w:color w:val="000000"/>
      <w:sz w:val="20"/>
      <w:szCs w:val="20"/>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WW8Num3z0">
    <w:name w:val="WW8Num3z0"/>
    <w:rPr>
      <w:rFonts w:ascii="Symbol" w:eastAsia="SimSun" w:hAnsi="Symbol" w:cs="Symbol" w:hint="default"/>
      <w:sz w:val="20"/>
      <w:szCs w:val="20"/>
    </w:rPr>
  </w:style>
  <w:style w:type="character" w:customStyle="1" w:styleId="WW8Num3z1">
    <w:name w:val="WW8Num3z1"/>
    <w:rPr>
      <w:rFonts w:ascii="Courier New" w:hAnsi="Courier New" w:cs="Times New Roman" w:hint="default"/>
      <w:sz w:val="20"/>
    </w:rPr>
  </w:style>
  <w:style w:type="character" w:customStyle="1" w:styleId="WW8Num3z2">
    <w:name w:val="WW8Num3z2"/>
    <w:rPr>
      <w:rFonts w:ascii="Wingdings" w:hAnsi="Wingdings" w:cs="Wingdings" w:hint="default"/>
      <w:sz w:val="20"/>
    </w:rPr>
  </w:style>
  <w:style w:type="character" w:customStyle="1" w:styleId="WW8Num4z0">
    <w:name w:val="WW8Num4z0"/>
    <w:rPr>
      <w:rFonts w:ascii="Symbol" w:hAnsi="Symbol" w:cs="Symbol" w:hint="default"/>
      <w:color w:val="000000"/>
      <w:sz w:val="20"/>
      <w:szCs w:val="20"/>
    </w:rPr>
  </w:style>
  <w:style w:type="character" w:customStyle="1" w:styleId="WW8Num4z1">
    <w:name w:val="WW8Num4z1"/>
    <w:rPr>
      <w:rFonts w:ascii="Courier New" w:hAnsi="Courier New" w:cs="Courier New" w:hint="default"/>
      <w:sz w:val="20"/>
    </w:rPr>
  </w:style>
  <w:style w:type="character" w:customStyle="1" w:styleId="WW8Num4z2">
    <w:name w:val="WW8Num4z2"/>
    <w:rPr>
      <w:rFonts w:ascii="Wingdings" w:hAnsi="Wingdings" w:cs="Wingdings" w:hint="default"/>
      <w:sz w:val="20"/>
    </w:rPr>
  </w:style>
  <w:style w:type="character" w:customStyle="1" w:styleId="WW8Num5z0">
    <w:name w:val="WW8Num5z0"/>
    <w:rPr>
      <w:b/>
      <w:color w:val="0000CC"/>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color w:val="000000"/>
      <w:sz w:val="20"/>
      <w:szCs w:val="20"/>
    </w:rPr>
  </w:style>
  <w:style w:type="character" w:customStyle="1" w:styleId="WW8Num6z1">
    <w:name w:val="WW8Num6z1"/>
    <w:rPr>
      <w:rFonts w:ascii="Courier New" w:hAnsi="Courier New" w:cs="Courier New" w:hint="default"/>
      <w:sz w:val="20"/>
    </w:rPr>
  </w:style>
  <w:style w:type="character" w:customStyle="1" w:styleId="WW8Num6z2">
    <w:name w:val="WW8Num6z2"/>
    <w:rPr>
      <w:rFonts w:ascii="Wingdings" w:hAnsi="Wingdings" w:cs="Wingdings" w:hint="default"/>
      <w:sz w:val="20"/>
    </w:rPr>
  </w:style>
  <w:style w:type="character" w:customStyle="1" w:styleId="WW8Num7z0">
    <w:name w:val="WW8Num7z0"/>
    <w:rPr>
      <w:rFonts w:ascii="Symbol" w:hAnsi="Symbol" w:cs="Symbol" w:hint="default"/>
      <w:color w:val="000000"/>
      <w:sz w:val="20"/>
      <w:szCs w:val="20"/>
    </w:rPr>
  </w:style>
  <w:style w:type="character" w:customStyle="1" w:styleId="WW8Num7z1">
    <w:name w:val="WW8Num7z1"/>
    <w:rPr>
      <w:rFonts w:ascii="Courier New" w:hAnsi="Courier New" w:cs="Courier New" w:hint="default"/>
      <w:sz w:val="20"/>
    </w:rPr>
  </w:style>
  <w:style w:type="character" w:customStyle="1" w:styleId="WW8Num7z2">
    <w:name w:val="WW8Num7z2"/>
    <w:rPr>
      <w:rFonts w:ascii="Wingdings" w:hAnsi="Wingdings" w:cs="Wingdings" w:hint="default"/>
      <w:sz w:val="20"/>
    </w:rPr>
  </w:style>
  <w:style w:type="character" w:customStyle="1" w:styleId="WW8Num8z0">
    <w:name w:val="WW8Num8z0"/>
    <w:rPr>
      <w:rFonts w:ascii="Symbol" w:hAnsi="Symbol" w:cs="Symbol" w:hint="default"/>
      <w:color w:val="000000"/>
      <w:sz w:val="20"/>
      <w:szCs w:val="20"/>
    </w:rPr>
  </w:style>
  <w:style w:type="character" w:customStyle="1" w:styleId="WW8Num8z1">
    <w:name w:val="WW8Num8z1"/>
    <w:rPr>
      <w:rFonts w:ascii="Courier New" w:hAnsi="Courier New" w:cs="Courier New" w:hint="default"/>
      <w:sz w:val="20"/>
    </w:rPr>
  </w:style>
  <w:style w:type="character" w:customStyle="1" w:styleId="WW8Num8z2">
    <w:name w:val="WW8Num8z2"/>
    <w:rPr>
      <w:rFonts w:ascii="Wingdings" w:hAnsi="Wingdings" w:cs="Wingdings" w:hint="default"/>
      <w:sz w:val="20"/>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color w:val="000000"/>
      <w:sz w:val="20"/>
      <w:szCs w:val="20"/>
    </w:rPr>
  </w:style>
  <w:style w:type="character" w:customStyle="1" w:styleId="WW8Num10z1">
    <w:name w:val="WW8Num10z1"/>
    <w:rPr>
      <w:rFonts w:ascii="Courier New" w:hAnsi="Courier New" w:cs="Courier New" w:hint="default"/>
      <w:sz w:val="20"/>
    </w:rPr>
  </w:style>
  <w:style w:type="character" w:customStyle="1" w:styleId="WW8Num10z2">
    <w:name w:val="WW8Num10z2"/>
    <w:rPr>
      <w:rFonts w:ascii="Wingdings" w:hAnsi="Wingdings" w:cs="Wingdings" w:hint="default"/>
      <w:sz w:val="20"/>
    </w:rPr>
  </w:style>
  <w:style w:type="character" w:customStyle="1" w:styleId="WW8Num11z0">
    <w:name w:val="WW8Num11z0"/>
    <w:rPr>
      <w:rFonts w:ascii="Symbol" w:hAnsi="Symbol" w:cs="Symbol" w:hint="default"/>
      <w:sz w:val="20"/>
    </w:rPr>
  </w:style>
  <w:style w:type="character" w:customStyle="1" w:styleId="WW8Num11z1">
    <w:name w:val="WW8Num11z1"/>
    <w:rPr>
      <w:rFonts w:ascii="Courier New" w:hAnsi="Courier New" w:cs="Courier New" w:hint="default"/>
      <w:sz w:val="20"/>
    </w:rPr>
  </w:style>
  <w:style w:type="character" w:customStyle="1" w:styleId="WW8Num11z2">
    <w:name w:val="WW8Num11z2"/>
    <w:rPr>
      <w:rFonts w:ascii="Wingdings" w:hAnsi="Wingdings" w:cs="Wingdings" w:hint="default"/>
      <w:sz w:val="20"/>
    </w:rPr>
  </w:style>
  <w:style w:type="character" w:customStyle="1" w:styleId="WW8Num12z0">
    <w:name w:val="WW8Num12z0"/>
    <w:rPr>
      <w:rFonts w:ascii="Symbol" w:hAnsi="Symbol" w:cs="Symbol" w:hint="default"/>
      <w:sz w:val="20"/>
    </w:rPr>
  </w:style>
  <w:style w:type="character" w:customStyle="1" w:styleId="WW8Num12z1">
    <w:name w:val="WW8Num12z1"/>
    <w:rPr>
      <w:rFonts w:ascii="Courier New" w:hAnsi="Courier New" w:cs="Courier New" w:hint="default"/>
      <w:sz w:val="20"/>
    </w:rPr>
  </w:style>
  <w:style w:type="character" w:customStyle="1" w:styleId="WW8Num12z2">
    <w:name w:val="WW8Num12z2"/>
    <w:rPr>
      <w:rFonts w:ascii="Wingdings" w:hAnsi="Wingdings" w:cs="Wingdings" w:hint="default"/>
      <w:sz w:val="20"/>
    </w:rPr>
  </w:style>
  <w:style w:type="character" w:customStyle="1" w:styleId="WW8Num13z0">
    <w:name w:val="WW8Num13z0"/>
    <w:rPr>
      <w:rFonts w:ascii="Symbol" w:hAnsi="Symbol" w:cs="Symbol" w:hint="default"/>
      <w:color w:val="000000"/>
      <w:sz w:val="20"/>
      <w:szCs w:val="20"/>
    </w:rPr>
  </w:style>
  <w:style w:type="character" w:customStyle="1" w:styleId="WW8Num13z1">
    <w:name w:val="WW8Num13z1"/>
    <w:rPr>
      <w:rFonts w:ascii="Courier New" w:hAnsi="Courier New" w:cs="Courier New" w:hint="default"/>
      <w:sz w:val="20"/>
    </w:rPr>
  </w:style>
  <w:style w:type="character" w:customStyle="1" w:styleId="WW8Num13z2">
    <w:name w:val="WW8Num13z2"/>
    <w:rPr>
      <w:rFonts w:ascii="Wingdings" w:hAnsi="Wingdings" w:cs="Wingdings" w:hint="default"/>
      <w:sz w:val="20"/>
    </w:rPr>
  </w:style>
  <w:style w:type="character" w:customStyle="1" w:styleId="WW8Num14z0">
    <w:name w:val="WW8Num14z0"/>
    <w:rPr>
      <w:rFonts w:ascii="Symbol" w:hAnsi="Symbol" w:cs="Symbol" w:hint="default"/>
      <w:color w:val="000000"/>
      <w:sz w:val="20"/>
      <w:szCs w:val="20"/>
    </w:rPr>
  </w:style>
  <w:style w:type="character" w:customStyle="1" w:styleId="WW8Num14z1">
    <w:name w:val="WW8Num14z1"/>
    <w:rPr>
      <w:rFonts w:ascii="Courier New" w:hAnsi="Courier New" w:cs="Courier New" w:hint="default"/>
      <w:sz w:val="20"/>
    </w:rPr>
  </w:style>
  <w:style w:type="character" w:customStyle="1" w:styleId="WW8Num14z2">
    <w:name w:val="WW8Num14z2"/>
    <w:rPr>
      <w:rFonts w:ascii="Wingdings" w:hAnsi="Wingdings" w:cs="Wingdings" w:hint="default"/>
      <w:sz w:val="20"/>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sz w:val="20"/>
    </w:rPr>
  </w:style>
  <w:style w:type="character" w:customStyle="1" w:styleId="WW8Num16z1">
    <w:name w:val="WW8Num16z1"/>
    <w:rPr>
      <w:rFonts w:ascii="Courier New" w:hAnsi="Courier New" w:cs="Courier New" w:hint="default"/>
      <w:sz w:val="20"/>
    </w:rPr>
  </w:style>
  <w:style w:type="character" w:customStyle="1" w:styleId="WW8Num16z2">
    <w:name w:val="WW8Num16z2"/>
    <w:rPr>
      <w:rFonts w:ascii="Wingdings" w:hAnsi="Wingdings" w:cs="Wingdings" w:hint="default"/>
      <w:sz w:val="20"/>
    </w:rPr>
  </w:style>
  <w:style w:type="character" w:styleId="Enfasicorsivo">
    <w:name w:val="Emphasis"/>
    <w:qFormat/>
    <w:rPr>
      <w:i/>
      <w:iCs/>
    </w:rPr>
  </w:style>
  <w:style w:type="character" w:customStyle="1" w:styleId="colorkey12">
    <w:name w:val="color_key_12"/>
    <w:rPr>
      <w:shd w:val="clear" w:color="auto" w:fill="FFD700"/>
    </w:rPr>
  </w:style>
  <w:style w:type="character" w:customStyle="1" w:styleId="colorkey21">
    <w:name w:val="color_key_21"/>
    <w:rPr>
      <w:shd w:val="clear" w:color="auto" w:fill="00FF00"/>
    </w:rPr>
  </w:style>
  <w:style w:type="character" w:styleId="Collegamentoipertestuale">
    <w:name w:val="Hyperlink"/>
    <w:rPr>
      <w:color w:val="0000FF"/>
      <w:u w:val="single"/>
    </w:rPr>
  </w:style>
  <w:style w:type="character" w:customStyle="1" w:styleId="PiedepginaCar">
    <w:name w:val="Pie de página Car"/>
    <w:rPr>
      <w:sz w:val="22"/>
      <w:szCs w:val="22"/>
    </w:rPr>
  </w:style>
  <w:style w:type="character" w:customStyle="1" w:styleId="hithilite1">
    <w:name w:val="hithilite1"/>
    <w:rPr>
      <w:shd w:val="clear" w:color="auto" w:fill="FFF3C6"/>
    </w:rPr>
  </w:style>
  <w:style w:type="character" w:customStyle="1" w:styleId="databold1">
    <w:name w:val="data_bold1"/>
    <w:rPr>
      <w:b/>
      <w:bCs/>
    </w:rPr>
  </w:style>
  <w:style w:type="character" w:styleId="Enfasigrassetto">
    <w:name w:val="Strong"/>
    <w:qFormat/>
    <w:rPr>
      <w:b/>
      <w:bCs/>
    </w:rPr>
  </w:style>
  <w:style w:type="character" w:customStyle="1" w:styleId="f1">
    <w:name w:val="f1"/>
    <w:rPr>
      <w:color w:val="676767"/>
    </w:rPr>
  </w:style>
  <w:style w:type="character" w:customStyle="1" w:styleId="hit">
    <w:name w:val="hit"/>
    <w:basedOn w:val="Carpredefinitoparagrafo"/>
  </w:style>
  <w:style w:type="character" w:customStyle="1" w:styleId="smallv651">
    <w:name w:val="smallv651"/>
    <w:rPr>
      <w:sz w:val="16"/>
      <w:szCs w:val="16"/>
    </w:rPr>
  </w:style>
  <w:style w:type="character" w:customStyle="1" w:styleId="frlabel1">
    <w:name w:val="fr_label1"/>
    <w:rPr>
      <w:b/>
      <w:bCs/>
    </w:rPr>
  </w:style>
  <w:style w:type="character" w:customStyle="1" w:styleId="frsourcelabel1">
    <w:name w:val="fr_source_label1"/>
    <w:rPr>
      <w:b/>
      <w:bCs/>
    </w:rPr>
  </w:style>
  <w:style w:type="character" w:styleId="Numeropagina">
    <w:name w:val="page number"/>
    <w:basedOn w:val="Carpredefinitoparagrafo"/>
  </w:style>
  <w:style w:type="character" w:styleId="Collegamentovisitato">
    <w:name w:val="FollowedHyperlink"/>
    <w:rPr>
      <w:color w:val="800080"/>
      <w:u w:val="single"/>
    </w:rPr>
  </w:style>
  <w:style w:type="character" w:styleId="Numeroriga">
    <w:name w:val="line number"/>
    <w:basedOn w:val="Carpredefinitoparagrafo"/>
  </w:style>
  <w:style w:type="character" w:customStyle="1" w:styleId="journalname">
    <w:name w:val="journalname"/>
    <w:basedOn w:val="Carpredefinitoparagrafo"/>
  </w:style>
  <w:style w:type="character" w:customStyle="1" w:styleId="yshortcuts">
    <w:name w:val="yshortcuts"/>
    <w:basedOn w:val="Carpredefinitoparagrafo"/>
  </w:style>
  <w:style w:type="character" w:styleId="CitazioneHTML">
    <w:name w:val="HTML Cite"/>
    <w:rPr>
      <w:i/>
      <w:iCs/>
    </w:rPr>
  </w:style>
  <w:style w:type="character" w:customStyle="1" w:styleId="HeaderChar">
    <w:name w:val="Header Char"/>
    <w:rPr>
      <w:sz w:val="24"/>
      <w:szCs w:val="24"/>
    </w:rPr>
  </w:style>
  <w:style w:type="character" w:customStyle="1" w:styleId="A2">
    <w:name w:val="A2"/>
    <w:rPr>
      <w:rFonts w:cs="Meta Bold LF"/>
      <w:b/>
      <w:bCs/>
      <w:color w:val="211D1E"/>
      <w:sz w:val="15"/>
      <w:szCs w:val="15"/>
    </w:rPr>
  </w:style>
  <w:style w:type="character" w:customStyle="1" w:styleId="A7">
    <w:name w:val="A7"/>
    <w:rPr>
      <w:rFonts w:cs="Relay"/>
      <w:b/>
      <w:bCs/>
      <w:color w:val="211D1E"/>
      <w:sz w:val="14"/>
      <w:szCs w:val="14"/>
    </w:rPr>
  </w:style>
  <w:style w:type="character" w:customStyle="1" w:styleId="BIEmailAddressChar">
    <w:name w:val="BI_Email_Address Char"/>
    <w:rPr>
      <w:rFonts w:ascii="Times" w:eastAsia="SimSun" w:hAnsi="Times" w:cs="Times"/>
      <w:sz w:val="24"/>
      <w:lang w:val="en-US" w:bidi="ar-SA"/>
    </w:rPr>
  </w:style>
  <w:style w:type="character" w:customStyle="1" w:styleId="CharChar">
    <w:name w:val="Char Char"/>
    <w:rPr>
      <w:rFonts w:ascii="Cambria" w:eastAsia="Times New Roman" w:hAnsi="Cambria" w:cs="Times New Roman"/>
      <w:b/>
      <w:bCs/>
      <w:i/>
      <w:iCs/>
      <w:sz w:val="28"/>
      <w:szCs w:val="28"/>
    </w:rPr>
  </w:style>
  <w:style w:type="character" w:customStyle="1" w:styleId="CharChar2">
    <w:name w:val="Char Char2"/>
    <w:rPr>
      <w:rFonts w:ascii="Cambria" w:hAnsi="Cambria" w:cs="Cambria"/>
      <w:b/>
      <w:bCs/>
      <w:kern w:val="2"/>
      <w:sz w:val="32"/>
      <w:szCs w:val="32"/>
      <w:lang w:val="en-US" w:bidi="ar-SA"/>
    </w:rPr>
  </w:style>
  <w:style w:type="character" w:customStyle="1" w:styleId="CharChar1">
    <w:name w:val="Char Char1"/>
    <w:rPr>
      <w:rFonts w:ascii="Cambria" w:eastAsia="Times New Roman" w:hAnsi="Cambria" w:cs="Times New Roman"/>
      <w:b/>
      <w:bCs/>
      <w:i/>
      <w:iCs/>
      <w:sz w:val="28"/>
      <w:szCs w:val="28"/>
    </w:rPr>
  </w:style>
  <w:style w:type="character" w:customStyle="1" w:styleId="xcitationtitle1">
    <w:name w:val="xcitationtitle1"/>
    <w:rPr>
      <w:rFonts w:ascii="Verdana" w:hAnsi="Verdana" w:cs="Verdana" w:hint="default"/>
      <w:b/>
      <w:bCs/>
      <w:sz w:val="21"/>
      <w:szCs w:val="21"/>
    </w:rPr>
  </w:style>
  <w:style w:type="character" w:customStyle="1" w:styleId="cit-sep2">
    <w:name w:val="cit-sep2"/>
    <w:basedOn w:val="Carpredefinitoparagrafo"/>
  </w:style>
  <w:style w:type="character" w:customStyle="1" w:styleId="cit-subtitle">
    <w:name w:val="cit-subtitle"/>
    <w:basedOn w:val="Carpredefinitoparagrafo"/>
  </w:style>
  <w:style w:type="character" w:customStyle="1" w:styleId="citation">
    <w:name w:val="citation"/>
    <w:basedOn w:val="Carpredefinitoparagrafo"/>
  </w:style>
  <w:style w:type="character" w:customStyle="1" w:styleId="article">
    <w:name w:val="article"/>
    <w:basedOn w:val="Carpredefinitoparagrafo"/>
  </w:style>
  <w:style w:type="character" w:customStyle="1" w:styleId="FootnoteCharacters">
    <w:name w:val="Footnote Characters"/>
    <w:rPr>
      <w:vertAlign w:val="superscript"/>
    </w:rPr>
  </w:style>
  <w:style w:type="character" w:customStyle="1" w:styleId="volume">
    <w:name w:val="volume"/>
    <w:basedOn w:val="Carpredefinitoparagrafo"/>
  </w:style>
  <w:style w:type="character" w:customStyle="1" w:styleId="issue">
    <w:name w:val="issue"/>
    <w:basedOn w:val="Carpredefinitoparagrafo"/>
  </w:style>
  <w:style w:type="character" w:customStyle="1" w:styleId="pages">
    <w:name w:val="pages"/>
    <w:basedOn w:val="Carpredefinitoparagrafo"/>
  </w:style>
  <w:style w:type="character" w:customStyle="1" w:styleId="ti">
    <w:name w:val="ti"/>
    <w:basedOn w:val="Carpredefinitoparagrafo"/>
  </w:style>
  <w:style w:type="character" w:customStyle="1" w:styleId="linkbar">
    <w:name w:val="linkbar"/>
    <w:basedOn w:val="Carpredefinitoparagrafo"/>
  </w:style>
  <w:style w:type="character" w:customStyle="1" w:styleId="featuredlinkouts">
    <w:name w:val="featured_linkouts"/>
    <w:basedOn w:val="Carpredefinitoparagrafo"/>
  </w:style>
  <w:style w:type="character" w:customStyle="1" w:styleId="ti2">
    <w:name w:val="ti2"/>
    <w:rPr>
      <w:sz w:val="22"/>
      <w:szCs w:val="22"/>
    </w:rPr>
  </w:style>
  <w:style w:type="character" w:customStyle="1" w:styleId="AlexionBodyTextChar">
    <w:name w:val="Alexion Body Text Char"/>
    <w:rPr>
      <w:sz w:val="24"/>
      <w:lang w:val="en-US" w:bidi="ar-SA"/>
    </w:rPr>
  </w:style>
  <w:style w:type="character" w:customStyle="1" w:styleId="src1">
    <w:name w:val="src1"/>
    <w:rPr>
      <w:vanish w:val="0"/>
    </w:rPr>
  </w:style>
  <w:style w:type="character" w:customStyle="1" w:styleId="jrnl">
    <w:name w:val="jrnl"/>
    <w:basedOn w:val="Carpredefinitoparagrafo"/>
  </w:style>
  <w:style w:type="character" w:customStyle="1" w:styleId="TitleChar">
    <w:name w:val="Title Char"/>
    <w:rPr>
      <w:rFonts w:ascii="Cambria" w:eastAsia="Times New Roman" w:hAnsi="Cambria" w:cs="Times New Roman"/>
      <w:b/>
      <w:bCs/>
      <w:kern w:val="2"/>
      <w:sz w:val="32"/>
      <w:szCs w:val="32"/>
    </w:rPr>
  </w:style>
  <w:style w:type="character" w:customStyle="1" w:styleId="IntensivesAnfhrungszeichenZchn">
    <w:name w:val="Intensives Anführungszeichen Zchn"/>
    <w:rPr>
      <w:b/>
      <w:bCs/>
      <w:i/>
      <w:iCs/>
      <w:color w:val="4F81BD"/>
      <w:sz w:val="24"/>
      <w:szCs w:val="24"/>
    </w:rPr>
  </w:style>
  <w:style w:type="character" w:customStyle="1" w:styleId="FooterChar">
    <w:name w:val="Footer Char"/>
    <w:rPr>
      <w:sz w:val="24"/>
      <w:szCs w:val="24"/>
    </w:rPr>
  </w:style>
  <w:style w:type="character" w:customStyle="1" w:styleId="FootnoteTextChar">
    <w:name w:val="Footnote Text Char"/>
    <w:basedOn w:val="Carpredefinitoparagrafo"/>
  </w:style>
  <w:style w:type="character" w:customStyle="1" w:styleId="EndnoteTextChar">
    <w:name w:val="Endnote Text Char"/>
    <w:basedOn w:val="Carpredefinitoparagrafo"/>
  </w:style>
  <w:style w:type="character" w:customStyle="1" w:styleId="EndnoteCharacters">
    <w:name w:val="Endnote Characters"/>
    <w:rPr>
      <w:vertAlign w:val="superscript"/>
    </w:rPr>
  </w:style>
  <w:style w:type="character" w:customStyle="1" w:styleId="IntensiveHervorhebung1">
    <w:name w:val="Intensive Hervorhebung1"/>
    <w:rPr>
      <w:b/>
      <w:bCs/>
      <w:i/>
      <w:iCs/>
      <w:color w:val="4F81BD"/>
    </w:rPr>
  </w:style>
  <w:style w:type="character" w:customStyle="1" w:styleId="Heading1Char">
    <w:name w:val="Heading 1 Char"/>
    <w:rPr>
      <w:rFonts w:ascii="Cambria" w:eastAsia="Times New Roman" w:hAnsi="Cambria" w:cs="Times New Roman"/>
      <w:b/>
      <w:bCs/>
      <w:kern w:val="2"/>
      <w:sz w:val="32"/>
      <w:szCs w:val="32"/>
    </w:rPr>
  </w:style>
  <w:style w:type="character" w:customStyle="1" w:styleId="ListBulletChar">
    <w:name w:val="List Bullet Char"/>
    <w:rPr>
      <w:sz w:val="24"/>
      <w:szCs w:val="24"/>
      <w:lang w:val="de-DE" w:bidi="ar-SA"/>
    </w:rPr>
  </w:style>
  <w:style w:type="character" w:styleId="Rimandocommento">
    <w:name w:val="annotation reference"/>
    <w:rPr>
      <w:sz w:val="16"/>
      <w:szCs w:val="16"/>
    </w:rPr>
  </w:style>
  <w:style w:type="character" w:customStyle="1" w:styleId="CommentTextChar">
    <w:name w:val="Comment Text Char"/>
    <w:basedOn w:val="Carpredefinitoparagrafo"/>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CharChar6">
    <w:name w:val="Char Char6"/>
    <w:rPr>
      <w:b/>
      <w:bCs/>
      <w:kern w:val="2"/>
      <w:sz w:val="48"/>
      <w:szCs w:val="48"/>
    </w:rPr>
  </w:style>
  <w:style w:type="character" w:customStyle="1" w:styleId="CharChar5">
    <w:name w:val="Char Char5"/>
    <w:rPr>
      <w:rFonts w:ascii="Cambria" w:eastAsia="Times New Roman" w:hAnsi="Cambria" w:cs="Times New Roman"/>
      <w:b/>
      <w:bCs/>
      <w:i/>
      <w:iCs/>
      <w:sz w:val="28"/>
      <w:szCs w:val="28"/>
    </w:rPr>
  </w:style>
  <w:style w:type="character" w:customStyle="1" w:styleId="CharChar3">
    <w:name w:val="Char Char3"/>
    <w:rPr>
      <w:b/>
      <w:bCs/>
      <w:sz w:val="28"/>
      <w:szCs w:val="28"/>
    </w:rPr>
  </w:style>
  <w:style w:type="character" w:customStyle="1" w:styleId="apple-style-span">
    <w:name w:val="apple-style-span"/>
    <w:basedOn w:val="Carpredefinitoparagrafo"/>
  </w:style>
  <w:style w:type="character" w:customStyle="1" w:styleId="apple-converted-space">
    <w:name w:val="apple-converted-space"/>
    <w:basedOn w:val="Carpredefinitoparagrafo"/>
  </w:style>
  <w:style w:type="character" w:customStyle="1" w:styleId="black-text-b">
    <w:name w:val="black-text-b"/>
    <w:basedOn w:val="Carpredefinitoparagrafo"/>
  </w:style>
  <w:style w:type="character" w:customStyle="1" w:styleId="pagetext">
    <w:name w:val="page_text"/>
    <w:basedOn w:val="Carpredefinitoparagrafo"/>
  </w:style>
  <w:style w:type="character" w:customStyle="1" w:styleId="nbapihighlight">
    <w:name w:val="nbapihighlight"/>
    <w:basedOn w:val="Carpredefinitoparagrafo"/>
  </w:style>
  <w:style w:type="character" w:customStyle="1" w:styleId="citation-abbreviation">
    <w:name w:val="citation-abbreviation"/>
    <w:basedOn w:val="Carpredefinitoparagrafo"/>
  </w:style>
  <w:style w:type="character" w:customStyle="1" w:styleId="citation-publication-date">
    <w:name w:val="citation-publication-date"/>
    <w:basedOn w:val="Carpredefinitoparagrafo"/>
  </w:style>
  <w:style w:type="character" w:customStyle="1" w:styleId="citation-volume">
    <w:name w:val="citation-volume"/>
    <w:basedOn w:val="Carpredefinitoparagrafo"/>
  </w:style>
  <w:style w:type="character" w:customStyle="1" w:styleId="citation-issue">
    <w:name w:val="citation-issue"/>
    <w:basedOn w:val="Carpredefinitoparagrafo"/>
  </w:style>
  <w:style w:type="character" w:customStyle="1" w:styleId="citation-flpages">
    <w:name w:val="citation-flpages"/>
    <w:basedOn w:val="Carpredefinitoparagrafo"/>
  </w:style>
  <w:style w:type="character" w:customStyle="1" w:styleId="cit-auth2">
    <w:name w:val="cit-auth2"/>
    <w:basedOn w:val="Carpredefinitoparagrafo"/>
  </w:style>
  <w:style w:type="character" w:customStyle="1" w:styleId="cit-name-surname">
    <w:name w:val="cit-name-surname"/>
    <w:basedOn w:val="Carpredefinitoparagrafo"/>
  </w:style>
  <w:style w:type="character" w:customStyle="1" w:styleId="cit-name-given-names">
    <w:name w:val="cit-name-given-names"/>
    <w:basedOn w:val="Carpredefinitoparagrafo"/>
  </w:style>
  <w:style w:type="character" w:customStyle="1" w:styleId="cit-etal">
    <w:name w:val="cit-etal"/>
    <w:basedOn w:val="Carpredefinitoparagrafo"/>
  </w:style>
  <w:style w:type="character" w:customStyle="1" w:styleId="cit-pub-date">
    <w:name w:val="cit-pub-date"/>
    <w:basedOn w:val="Carpredefinitoparagrafo"/>
  </w:style>
  <w:style w:type="character" w:customStyle="1" w:styleId="cit-article-title">
    <w:name w:val="cit-article-title"/>
    <w:basedOn w:val="Carpredefinitoparagrafo"/>
  </w:style>
  <w:style w:type="character" w:customStyle="1" w:styleId="cit-vol3">
    <w:name w:val="cit-vol3"/>
    <w:basedOn w:val="Carpredefinitoparagrafo"/>
  </w:style>
  <w:style w:type="character" w:customStyle="1" w:styleId="cit-supplement">
    <w:name w:val="cit-supplement"/>
    <w:basedOn w:val="Carpredefinitoparagrafo"/>
  </w:style>
  <w:style w:type="character" w:customStyle="1" w:styleId="cit-fpage">
    <w:name w:val="cit-fpage"/>
    <w:basedOn w:val="Carpredefinitoparagrafo"/>
  </w:style>
  <w:style w:type="character" w:customStyle="1" w:styleId="cit-comment">
    <w:name w:val="cit-comment"/>
    <w:basedOn w:val="Carpredefinitoparagrafo"/>
  </w:style>
  <w:style w:type="character" w:customStyle="1" w:styleId="refpreview1">
    <w:name w:val="refpreview1"/>
    <w:rPr>
      <w:vanish/>
      <w:shd w:val="clear" w:color="auto" w:fill="EEEEEE"/>
    </w:rPr>
  </w:style>
  <w:style w:type="character" w:customStyle="1" w:styleId="nbapihighlight2">
    <w:name w:val="nbapihighlight2"/>
    <w:basedOn w:val="Carpredefinitoparagrafo"/>
  </w:style>
  <w:style w:type="character" w:customStyle="1" w:styleId="referencetext1">
    <w:name w:val="referencetext1"/>
    <w:rPr>
      <w:vanish w:val="0"/>
    </w:rPr>
  </w:style>
  <w:style w:type="character" w:customStyle="1" w:styleId="highlight">
    <w:name w:val="highlight"/>
    <w:basedOn w:val="Carpredefinitoparagrafo"/>
  </w:style>
  <w:style w:type="character" w:customStyle="1" w:styleId="citationbook">
    <w:name w:val="citation book"/>
    <w:basedOn w:val="Carpredefinitoparagrafo"/>
  </w:style>
  <w:style w:type="character" w:customStyle="1" w:styleId="citationjournal">
    <w:name w:val="citation journal"/>
    <w:basedOn w:val="Carpredefinitoparagrafo"/>
  </w:style>
  <w:style w:type="character" w:customStyle="1" w:styleId="spipsurligne">
    <w:name w:val="spip_surligne"/>
    <w:basedOn w:val="Carpredefinitoparagrafo"/>
  </w:style>
  <w:style w:type="character" w:customStyle="1" w:styleId="name">
    <w:name w:val="name"/>
    <w:basedOn w:val="Carpredefinitoparagrafo"/>
  </w:style>
  <w:style w:type="character" w:customStyle="1" w:styleId="slug-pub-date">
    <w:name w:val="slug-pub-date"/>
    <w:basedOn w:val="Carpredefinitoparagrafo"/>
  </w:style>
  <w:style w:type="character" w:customStyle="1" w:styleId="slug-vol">
    <w:name w:val="slug-vol"/>
    <w:basedOn w:val="Carpredefinitoparagrafo"/>
  </w:style>
  <w:style w:type="character" w:customStyle="1" w:styleId="slug-pages">
    <w:name w:val="slug-pages"/>
    <w:basedOn w:val="Carpredefinitoparagrafo"/>
  </w:style>
  <w:style w:type="character" w:customStyle="1" w:styleId="hidden1">
    <w:name w:val="hidden1"/>
    <w:basedOn w:val="Carpredefinitoparagrafo"/>
  </w:style>
  <w:style w:type="character" w:customStyle="1" w:styleId="hps">
    <w:name w:val="hps"/>
    <w:basedOn w:val="Carpredefinitoparagrafo"/>
  </w:style>
  <w:style w:type="character" w:customStyle="1" w:styleId="hpsatn">
    <w:name w:val="hps atn"/>
    <w:basedOn w:val="Carpredefinitoparagrafo"/>
  </w:style>
  <w:style w:type="character" w:customStyle="1" w:styleId="atn">
    <w:name w:val="atn"/>
    <w:basedOn w:val="Carpredefinitoparagrafo"/>
  </w:style>
  <w:style w:type="character" w:customStyle="1" w:styleId="printhide">
    <w:name w:val="printhide"/>
    <w:basedOn w:val="Carpredefinitoparagrafo"/>
  </w:style>
  <w:style w:type="character" w:customStyle="1" w:styleId="spelle">
    <w:name w:val="spelle"/>
    <w:basedOn w:val="Carpredefinitoparagrafo"/>
  </w:style>
  <w:style w:type="character" w:customStyle="1" w:styleId="Subtitle1">
    <w:name w:val="Subtitle1"/>
    <w:basedOn w:val="Carpredefinitoparagrafo"/>
  </w:style>
  <w:style w:type="character" w:customStyle="1" w:styleId="st">
    <w:name w:val="st"/>
    <w:basedOn w:val="Carpredefinitoparagrafo"/>
  </w:style>
  <w:style w:type="character" w:customStyle="1" w:styleId="Ttulo1Char">
    <w:name w:val="Título 1 Char"/>
    <w:rPr>
      <w:rFonts w:cs="Arial"/>
      <w:b/>
      <w:bCs/>
      <w:kern w:val="2"/>
      <w:sz w:val="24"/>
      <w:szCs w:val="32"/>
      <w:lang w:val="en-US" w:bidi="ar-SA"/>
    </w:rPr>
  </w:style>
  <w:style w:type="character" w:customStyle="1" w:styleId="RodapChar">
    <w:name w:val="Rodapé Char"/>
    <w:rPr>
      <w:sz w:val="24"/>
      <w:szCs w:val="24"/>
      <w:lang w:val="en-US" w:bidi="ar-SA"/>
    </w:rPr>
  </w:style>
  <w:style w:type="character" w:customStyle="1" w:styleId="BCAuthorAddressCarattere">
    <w:name w:val="BC_Author_Address Carattere"/>
    <w:rPr>
      <w:sz w:val="24"/>
      <w:lang w:val="it-IT"/>
    </w:rPr>
  </w:style>
  <w:style w:type="character" w:customStyle="1" w:styleId="rwrro">
    <w:name w:val="rwrro"/>
    <w:basedOn w:val="Carpredefinitoparagrafo"/>
  </w:style>
  <w:style w:type="character" w:customStyle="1" w:styleId="ldacoc">
    <w:name w:val="ldacoc"/>
    <w:basedOn w:val="Carpredefinitoparagrafo"/>
  </w:style>
  <w:style w:type="character" w:customStyle="1" w:styleId="TextodenotaderodapChar">
    <w:name w:val="Texto de nota de rodapé Char"/>
    <w:rPr>
      <w:rFonts w:ascii="Times" w:hAnsi="Times" w:cs="Times"/>
      <w:sz w:val="24"/>
      <w:lang w:val="en-US" w:bidi="ar-SA"/>
    </w:rPr>
  </w:style>
  <w:style w:type="character" w:customStyle="1" w:styleId="book-details-italic1">
    <w:name w:val="book-details-italic1"/>
    <w:rPr>
      <w:rFonts w:ascii="Georgia" w:hAnsi="Georgia" w:cs="Georgia" w:hint="default"/>
      <w:color w:val="999999"/>
      <w:sz w:val="12"/>
      <w:szCs w:val="12"/>
    </w:rPr>
  </w:style>
  <w:style w:type="character" w:customStyle="1" w:styleId="mediumtext1">
    <w:name w:val="medium_text1"/>
    <w:rPr>
      <w:sz w:val="24"/>
      <w:szCs w:val="24"/>
    </w:rPr>
  </w:style>
  <w:style w:type="character" w:customStyle="1" w:styleId="shorttext1">
    <w:name w:val="short_text1"/>
    <w:rPr>
      <w:sz w:val="20"/>
      <w:szCs w:val="20"/>
    </w:rPr>
  </w:style>
  <w:style w:type="character" w:customStyle="1" w:styleId="Recuodecorpodetexto3Char">
    <w:name w:val="Recuo de corpo de texto 3 Char"/>
    <w:rPr>
      <w:sz w:val="16"/>
      <w:szCs w:val="16"/>
      <w:lang w:val="es-ES" w:bidi="he-IL"/>
    </w:rPr>
  </w:style>
  <w:style w:type="character" w:customStyle="1" w:styleId="googqs-tidbit1">
    <w:name w:val="goog_qs-tidbit1"/>
    <w:rPr>
      <w:vanish w:val="0"/>
    </w:rPr>
  </w:style>
  <w:style w:type="character" w:customStyle="1" w:styleId="SubtitleChar">
    <w:name w:val="Subtitle Char"/>
    <w:rPr>
      <w:rFonts w:ascii="Cambria" w:eastAsia="MS Gothic" w:hAnsi="Cambria" w:cs="Times New Roman"/>
      <w:i/>
      <w:iCs/>
      <w:color w:val="4F81BD"/>
      <w:spacing w:val="15"/>
      <w:sz w:val="24"/>
      <w:szCs w:val="24"/>
    </w:rPr>
  </w:style>
  <w:style w:type="character" w:customStyle="1" w:styleId="NoSpacingChar">
    <w:name w:val="No Spacing Char"/>
    <w:rPr>
      <w:rFonts w:eastAsia="MS Mincho"/>
    </w:rPr>
  </w:style>
  <w:style w:type="character" w:customStyle="1" w:styleId="slug-pub-date3">
    <w:name w:val="slug-pub-date3"/>
    <w:rPr>
      <w:b/>
      <w:bCs/>
    </w:rPr>
  </w:style>
  <w:style w:type="character" w:customStyle="1" w:styleId="slug-elocation">
    <w:name w:val="slug-elocation"/>
    <w:basedOn w:val="Carpredefinitoparagrafo"/>
  </w:style>
  <w:style w:type="character" w:customStyle="1" w:styleId="st1">
    <w:name w:val="st1"/>
    <w:basedOn w:val="Carpredefinitoparagrafo"/>
  </w:style>
  <w:style w:type="character" w:customStyle="1" w:styleId="author1">
    <w:name w:val="author1"/>
    <w:rPr>
      <w:rFonts w:ascii="Verdana" w:hAnsi="Verdana" w:cs="Verdana" w:hint="default"/>
      <w:strike w:val="0"/>
      <w:dstrike w:val="0"/>
      <w:color w:val="000000"/>
      <w:sz w:val="20"/>
      <w:szCs w:val="20"/>
      <w:u w:val="none"/>
    </w:rPr>
  </w:style>
  <w:style w:type="character" w:customStyle="1" w:styleId="blacksml1">
    <w:name w:val="blacksml1"/>
    <w:rPr>
      <w:rFonts w:ascii="Verdana" w:hAnsi="Verdana" w:cs="Verdana" w:hint="default"/>
      <w:strike w:val="0"/>
      <w:dstrike w:val="0"/>
      <w:color w:val="000000"/>
      <w:sz w:val="15"/>
      <w:szCs w:val="15"/>
      <w:u w:val="none"/>
    </w:rPr>
  </w:style>
  <w:style w:type="character" w:customStyle="1" w:styleId="maintitle">
    <w:name w:val="maintitle"/>
    <w:basedOn w:val="Carpredefinitoparagrafo"/>
  </w:style>
  <w:style w:type="character" w:customStyle="1" w:styleId="abscitationtitle">
    <w:name w:val="abs_citation_title"/>
    <w:basedOn w:val="Carpredefinitoparagrafo"/>
  </w:style>
  <w:style w:type="character" w:customStyle="1" w:styleId="slug-issue">
    <w:name w:val="slug-issue"/>
    <w:basedOn w:val="Carpredefinitoparagrafo"/>
  </w:style>
  <w:style w:type="character" w:customStyle="1" w:styleId="slug-pages3">
    <w:name w:val="slug-pages3"/>
    <w:rPr>
      <w:b/>
      <w:bCs/>
    </w:rPr>
  </w:style>
  <w:style w:type="character" w:styleId="MacchinadascrivereHTML">
    <w:name w:val="HTML Typewriter"/>
    <w:rPr>
      <w:rFonts w:ascii="Courier New" w:eastAsia="Times New Roman" w:hAnsi="Courier New" w:cs="Courier New"/>
      <w:sz w:val="20"/>
      <w:szCs w:val="20"/>
    </w:rPr>
  </w:style>
  <w:style w:type="character" w:customStyle="1" w:styleId="highlight1">
    <w:name w:val="highlight1"/>
    <w:rPr>
      <w:shd w:val="clear" w:color="auto" w:fill="FEDB6D"/>
    </w:rPr>
  </w:style>
  <w:style w:type="character" w:customStyle="1" w:styleId="citation-abbreviation2">
    <w:name w:val="citation-abbreviation2"/>
    <w:basedOn w:val="Carpredefinitoparagrafo"/>
  </w:style>
  <w:style w:type="character" w:customStyle="1" w:styleId="author">
    <w:name w:val="author"/>
  </w:style>
  <w:style w:type="character" w:customStyle="1" w:styleId="citationyear1">
    <w:name w:val="citation_year1"/>
    <w:rPr>
      <w:b/>
      <w:bCs/>
    </w:rPr>
  </w:style>
  <w:style w:type="character" w:customStyle="1" w:styleId="citationvolume1">
    <w:name w:val="citation_volume1"/>
    <w:rPr>
      <w:i/>
      <w:iCs/>
    </w:rPr>
  </w:style>
  <w:style w:type="character" w:customStyle="1" w:styleId="resnumber">
    <w:name w:val="resnumber"/>
    <w:basedOn w:val="Carpredefinitoparagrafo"/>
  </w:style>
  <w:style w:type="character" w:customStyle="1" w:styleId="ref-journal">
    <w:name w:val="ref-journal"/>
    <w:basedOn w:val="Carpredefinitoparagrafo"/>
  </w:style>
  <w:style w:type="character" w:customStyle="1" w:styleId="ref-vol">
    <w:name w:val="ref-vol"/>
    <w:basedOn w:val="Carpredefinitoparagrafo"/>
  </w:style>
  <w:style w:type="character" w:customStyle="1" w:styleId="label">
    <w:name w:val="label"/>
  </w:style>
  <w:style w:type="character" w:customStyle="1" w:styleId="tl-lowest-section">
    <w:name w:val="tl-lowest-section"/>
  </w:style>
  <w:style w:type="paragraph" w:customStyle="1" w:styleId="Heading">
    <w:name w:val="Heading"/>
    <w:basedOn w:val="Normale"/>
    <w:next w:val="Normale"/>
    <w:pPr>
      <w:spacing w:after="460" w:line="230" w:lineRule="exact"/>
    </w:pPr>
    <w:rPr>
      <w:rFonts w:eastAsia="MS Mincho"/>
      <w:b/>
      <w:sz w:val="22"/>
      <w:lang w:val="de-DE" w:eastAsia="ja-JP"/>
    </w:rPr>
  </w:style>
  <w:style w:type="paragraph" w:styleId="Corpotesto">
    <w:name w:val="Body Text"/>
    <w:basedOn w:val="Normale"/>
    <w:pPr>
      <w:jc w:val="both"/>
    </w:pPr>
    <w:rPr>
      <w:szCs w:val="20"/>
    </w:rPr>
  </w:style>
  <w:style w:type="paragraph" w:styleId="Elenco">
    <w:name w:val="List"/>
    <w:basedOn w:val="Corpotesto"/>
    <w:rPr>
      <w:rFonts w:cs="Lohit Devanagari"/>
    </w:rPr>
  </w:style>
  <w:style w:type="paragraph" w:styleId="Didascalia">
    <w:name w:val="caption"/>
    <w:basedOn w:val="Normale"/>
    <w:next w:val="Normale"/>
    <w:qFormat/>
    <w:rPr>
      <w:b/>
      <w:bCs/>
      <w:sz w:val="20"/>
      <w:szCs w:val="20"/>
    </w:rPr>
  </w:style>
  <w:style w:type="paragraph" w:customStyle="1" w:styleId="Index">
    <w:name w:val="Index"/>
    <w:basedOn w:val="Normale"/>
    <w:pPr>
      <w:suppressLineNumbers/>
    </w:pPr>
    <w:rPr>
      <w:rFonts w:cs="Lohit Devanagari"/>
    </w:rPr>
  </w:style>
  <w:style w:type="paragraph" w:customStyle="1" w:styleId="HeaderandFooter">
    <w:name w:val="Header and Footer"/>
    <w:basedOn w:val="Normale"/>
    <w:pPr>
      <w:suppressLineNumbers/>
      <w:tabs>
        <w:tab w:val="center" w:pos="4819"/>
        <w:tab w:val="right" w:pos="9638"/>
      </w:tabs>
    </w:pPr>
  </w:style>
  <w:style w:type="paragraph" w:styleId="Pidipagina">
    <w:name w:val="footer"/>
    <w:basedOn w:val="Normale"/>
    <w:pPr>
      <w:tabs>
        <w:tab w:val="center" w:pos="4252"/>
        <w:tab w:val="right" w:pos="8504"/>
      </w:tabs>
      <w:jc w:val="both"/>
    </w:pPr>
    <w:rPr>
      <w:rFonts w:ascii="Calibri" w:eastAsia="Calibri" w:hAnsi="Calibri" w:cs="Calibri"/>
      <w:sz w:val="22"/>
      <w:szCs w:val="22"/>
      <w:lang w:val="es-ES_tradnl"/>
    </w:rPr>
  </w:style>
  <w:style w:type="paragraph" w:styleId="NormaleWeb">
    <w:name w:val="Normal (Web)"/>
    <w:basedOn w:val="Normale"/>
    <w:uiPriority w:val="99"/>
    <w:pPr>
      <w:spacing w:before="280" w:after="280"/>
    </w:pPr>
    <w:rPr>
      <w:lang w:val="es-ES_tradnl"/>
    </w:rPr>
  </w:style>
  <w:style w:type="paragraph" w:customStyle="1" w:styleId="TableHead">
    <w:name w:val="TableHead"/>
    <w:basedOn w:val="Normale"/>
    <w:pPr>
      <w:spacing w:before="120" w:after="120" w:line="200" w:lineRule="exact"/>
    </w:pPr>
    <w:rPr>
      <w:rFonts w:ascii="Arial" w:eastAsia="MS Mincho" w:hAnsi="Arial" w:cs="Arial"/>
      <w:sz w:val="16"/>
      <w:lang w:val="en-GB" w:eastAsia="ja-JP"/>
    </w:rPr>
  </w:style>
  <w:style w:type="paragraph" w:customStyle="1" w:styleId="TableBody">
    <w:name w:val="TableBody"/>
    <w:basedOn w:val="Normale"/>
    <w:pPr>
      <w:spacing w:before="120" w:after="120" w:line="230" w:lineRule="exact"/>
    </w:pPr>
    <w:rPr>
      <w:rFonts w:ascii="Arial" w:eastAsia="MS Mincho" w:hAnsi="Arial" w:cs="Arial"/>
      <w:sz w:val="16"/>
      <w:lang w:val="de-DE" w:eastAsia="ja-JP"/>
    </w:rPr>
  </w:style>
  <w:style w:type="paragraph" w:customStyle="1" w:styleId="01-MainHeading">
    <w:name w:val="01-Main Heading"/>
    <w:basedOn w:val="Normale"/>
    <w:pPr>
      <w:spacing w:after="200" w:line="216" w:lineRule="auto"/>
      <w:jc w:val="both"/>
    </w:pPr>
    <w:rPr>
      <w:rFonts w:eastAsia="Times"/>
      <w:b/>
      <w:sz w:val="32"/>
      <w:szCs w:val="20"/>
    </w:rPr>
  </w:style>
  <w:style w:type="paragraph" w:customStyle="1" w:styleId="02-Author">
    <w:name w:val="02-Author"/>
    <w:basedOn w:val="Normale"/>
    <w:pPr>
      <w:spacing w:before="240" w:after="480" w:line="220" w:lineRule="exact"/>
      <w:ind w:right="567"/>
    </w:pPr>
    <w:rPr>
      <w:rFonts w:eastAsia="Times"/>
      <w:szCs w:val="20"/>
    </w:rPr>
  </w:style>
  <w:style w:type="paragraph" w:customStyle="1" w:styleId="03-Address">
    <w:name w:val="03-Address"/>
    <w:basedOn w:val="Normale"/>
    <w:pPr>
      <w:spacing w:after="240"/>
      <w:ind w:right="567"/>
      <w:jc w:val="both"/>
    </w:pPr>
    <w:rPr>
      <w:rFonts w:eastAsia="Times"/>
      <w:i/>
      <w:sz w:val="20"/>
      <w:szCs w:val="20"/>
    </w:rPr>
  </w:style>
  <w:style w:type="paragraph" w:customStyle="1" w:styleId="04-abstract">
    <w:name w:val="04-abstract"/>
    <w:basedOn w:val="Normale"/>
    <w:pPr>
      <w:spacing w:after="360" w:line="220" w:lineRule="exact"/>
      <w:ind w:left="851" w:right="567"/>
      <w:jc w:val="both"/>
    </w:pPr>
    <w:rPr>
      <w:rFonts w:eastAsia="Times"/>
      <w:sz w:val="18"/>
      <w:szCs w:val="20"/>
    </w:rPr>
  </w:style>
  <w:style w:type="paragraph" w:customStyle="1" w:styleId="05-ArticleText">
    <w:name w:val="05-Article Text"/>
    <w:basedOn w:val="Normale"/>
    <w:pPr>
      <w:tabs>
        <w:tab w:val="left" w:pos="284"/>
      </w:tabs>
      <w:spacing w:after="120" w:line="220" w:lineRule="exact"/>
      <w:jc w:val="both"/>
    </w:pPr>
    <w:rPr>
      <w:rFonts w:eastAsia="Times"/>
      <w:sz w:val="20"/>
      <w:szCs w:val="20"/>
    </w:rPr>
  </w:style>
  <w:style w:type="paragraph" w:customStyle="1" w:styleId="06-Heading-1">
    <w:name w:val="06-Heading-1"/>
    <w:basedOn w:val="Normale"/>
    <w:pPr>
      <w:spacing w:before="120" w:after="120" w:line="220" w:lineRule="exact"/>
      <w:jc w:val="both"/>
    </w:pPr>
    <w:rPr>
      <w:rFonts w:eastAsia="Times"/>
      <w:b/>
      <w:caps/>
      <w:sz w:val="20"/>
      <w:szCs w:val="20"/>
    </w:rPr>
  </w:style>
  <w:style w:type="paragraph" w:customStyle="1" w:styleId="07-Heading-2">
    <w:name w:val="07-Heading-2"/>
    <w:basedOn w:val="Normale"/>
    <w:pPr>
      <w:spacing w:before="120" w:after="120" w:line="220" w:lineRule="exact"/>
      <w:jc w:val="both"/>
    </w:pPr>
    <w:rPr>
      <w:rFonts w:eastAsia="Times"/>
      <w:b/>
      <w:sz w:val="20"/>
      <w:szCs w:val="20"/>
    </w:rPr>
  </w:style>
  <w:style w:type="paragraph" w:customStyle="1" w:styleId="08-Heading-3">
    <w:name w:val="08-Heading-3"/>
    <w:basedOn w:val="07-Heading-2"/>
    <w:rPr>
      <w:i/>
    </w:rPr>
  </w:style>
  <w:style w:type="paragraph" w:customStyle="1" w:styleId="09-Heading-4">
    <w:name w:val="09-Heading-4"/>
    <w:basedOn w:val="Normale"/>
    <w:pPr>
      <w:spacing w:before="120" w:after="120" w:line="220" w:lineRule="exact"/>
      <w:jc w:val="both"/>
    </w:pPr>
    <w:rPr>
      <w:rFonts w:eastAsia="Times"/>
      <w:b/>
      <w:i/>
      <w:sz w:val="20"/>
      <w:szCs w:val="20"/>
      <w:u w:val="single"/>
    </w:rPr>
  </w:style>
  <w:style w:type="paragraph" w:customStyle="1" w:styleId="10-Table-H">
    <w:name w:val="10-Table-H"/>
    <w:basedOn w:val="Normale"/>
    <w:pPr>
      <w:tabs>
        <w:tab w:val="left" w:pos="851"/>
      </w:tabs>
      <w:spacing w:before="60" w:after="240"/>
      <w:jc w:val="both"/>
    </w:pPr>
    <w:rPr>
      <w:rFonts w:eastAsia="Times"/>
      <w:b/>
      <w:sz w:val="18"/>
      <w:szCs w:val="20"/>
    </w:rPr>
  </w:style>
  <w:style w:type="paragraph" w:customStyle="1" w:styleId="11-Table-T">
    <w:name w:val="11-Table-T"/>
    <w:basedOn w:val="Normale"/>
    <w:pPr>
      <w:spacing w:before="60" w:after="60" w:line="220" w:lineRule="exact"/>
      <w:jc w:val="center"/>
    </w:pPr>
    <w:rPr>
      <w:rFonts w:eastAsia="Times"/>
      <w:sz w:val="16"/>
      <w:szCs w:val="20"/>
    </w:rPr>
  </w:style>
  <w:style w:type="paragraph" w:customStyle="1" w:styleId="12-References">
    <w:name w:val="12-References"/>
    <w:basedOn w:val="Normale"/>
    <w:pPr>
      <w:tabs>
        <w:tab w:val="left" w:pos="567"/>
      </w:tabs>
      <w:spacing w:line="180" w:lineRule="exact"/>
      <w:ind w:left="567" w:hanging="567"/>
      <w:jc w:val="both"/>
    </w:pPr>
    <w:rPr>
      <w:rFonts w:eastAsia="Times"/>
      <w:sz w:val="16"/>
      <w:szCs w:val="20"/>
    </w:rPr>
  </w:style>
  <w:style w:type="paragraph" w:customStyle="1" w:styleId="13-Figure">
    <w:name w:val="13-Figure"/>
    <w:basedOn w:val="Normale"/>
    <w:pPr>
      <w:spacing w:before="200" w:after="200" w:line="220" w:lineRule="exact"/>
      <w:jc w:val="both"/>
    </w:pPr>
    <w:rPr>
      <w:rFonts w:eastAsia="Times"/>
      <w:sz w:val="18"/>
      <w:szCs w:val="20"/>
    </w:rPr>
  </w:style>
  <w:style w:type="paragraph" w:styleId="Intestazione">
    <w:name w:val="header"/>
    <w:basedOn w:val="Normale"/>
    <w:pPr>
      <w:tabs>
        <w:tab w:val="center" w:pos="4320"/>
        <w:tab w:val="right" w:pos="8640"/>
      </w:tabs>
    </w:pPr>
  </w:style>
  <w:style w:type="paragraph" w:customStyle="1" w:styleId="firstlast">
    <w:name w:val="first last"/>
    <w:basedOn w:val="Normale"/>
    <w:pPr>
      <w:spacing w:before="280" w:after="280"/>
    </w:pPr>
    <w:rPr>
      <w:rFonts w:ascii="Arial" w:eastAsia="Batang" w:hAnsi="Arial" w:cs="Arial"/>
      <w:sz w:val="20"/>
      <w:szCs w:val="20"/>
    </w:rPr>
  </w:style>
  <w:style w:type="paragraph" w:customStyle="1" w:styleId="Default">
    <w:name w:val="Default"/>
    <w:pPr>
      <w:suppressAutoHyphens/>
      <w:autoSpaceDE w:val="0"/>
    </w:pPr>
    <w:rPr>
      <w:rFonts w:ascii="Arial Narrow" w:eastAsia="Batang" w:hAnsi="Arial Narrow" w:cs="Arial Narrow"/>
      <w:color w:val="000000"/>
      <w:sz w:val="24"/>
      <w:szCs w:val="24"/>
      <w:lang w:eastAsia="zh-CN"/>
    </w:rPr>
  </w:style>
  <w:style w:type="paragraph" w:customStyle="1" w:styleId="Heading21">
    <w:name w:val="Heading 21"/>
    <w:basedOn w:val="Normale"/>
    <w:rPr>
      <w:rFonts w:eastAsia="Batang"/>
      <w:color w:val="FFFFFF"/>
    </w:rPr>
  </w:style>
  <w:style w:type="paragraph" w:customStyle="1" w:styleId="Heading11">
    <w:name w:val="Heading 11"/>
    <w:basedOn w:val="Normale"/>
    <w:rPr>
      <w:rFonts w:eastAsia="Batang"/>
      <w:b/>
      <w:bCs/>
      <w:color w:val="FFFFFF"/>
      <w:spacing w:val="-12"/>
      <w:kern w:val="2"/>
      <w:sz w:val="40"/>
      <w:szCs w:val="40"/>
    </w:rPr>
  </w:style>
  <w:style w:type="paragraph" w:styleId="Testofumetto">
    <w:name w:val="Balloon Text"/>
    <w:basedOn w:val="Normale"/>
    <w:rPr>
      <w:rFonts w:ascii="Tahoma" w:hAnsi="Tahoma" w:cs="Tahoma"/>
      <w:sz w:val="16"/>
      <w:szCs w:val="16"/>
    </w:rPr>
  </w:style>
  <w:style w:type="paragraph" w:customStyle="1" w:styleId="Pa7">
    <w:name w:val="Pa7"/>
    <w:basedOn w:val="Default"/>
    <w:next w:val="Default"/>
    <w:pPr>
      <w:widowControl w:val="0"/>
      <w:spacing w:line="241" w:lineRule="atLeast"/>
    </w:pPr>
    <w:rPr>
      <w:rFonts w:ascii="Relay" w:eastAsia="Relay" w:hAnsi="Relay" w:cs="Times New Roman"/>
    </w:rPr>
  </w:style>
  <w:style w:type="paragraph" w:customStyle="1" w:styleId="Pa25">
    <w:name w:val="Pa25"/>
    <w:basedOn w:val="Default"/>
    <w:next w:val="Default"/>
    <w:pPr>
      <w:widowControl w:val="0"/>
      <w:spacing w:line="141" w:lineRule="atLeast"/>
    </w:pPr>
    <w:rPr>
      <w:rFonts w:ascii="Meta Normal LF" w:eastAsia="Meta Normal LF" w:hAnsi="Meta Normal LF" w:cs="Times New Roman"/>
    </w:rPr>
  </w:style>
  <w:style w:type="paragraph" w:customStyle="1" w:styleId="Pa9">
    <w:name w:val="Pa9"/>
    <w:basedOn w:val="Default"/>
    <w:next w:val="Default"/>
    <w:pPr>
      <w:widowControl w:val="0"/>
      <w:spacing w:line="181" w:lineRule="atLeast"/>
    </w:pPr>
    <w:rPr>
      <w:rFonts w:ascii="Meta Normal LF" w:eastAsia="Meta Normal LF" w:hAnsi="Meta Normal LF" w:cs="Times New Roman"/>
    </w:rPr>
  </w:style>
  <w:style w:type="paragraph" w:customStyle="1" w:styleId="BIEmailAddress">
    <w:name w:val="BI_Email_Address"/>
    <w:basedOn w:val="Normale"/>
    <w:next w:val="Normale"/>
    <w:pPr>
      <w:spacing w:after="200" w:line="480" w:lineRule="auto"/>
      <w:jc w:val="both"/>
    </w:pPr>
    <w:rPr>
      <w:rFonts w:ascii="Times" w:eastAsia="SimSun" w:hAnsi="Times" w:cs="Times"/>
      <w:szCs w:val="20"/>
    </w:rPr>
  </w:style>
  <w:style w:type="paragraph" w:customStyle="1" w:styleId="FACorrespondingAuthorFootnote">
    <w:name w:val="FA_Corresponding_Author_Footnote"/>
    <w:basedOn w:val="Normale"/>
    <w:next w:val="Normale"/>
    <w:pPr>
      <w:spacing w:after="200" w:line="480" w:lineRule="auto"/>
      <w:jc w:val="both"/>
    </w:pPr>
    <w:rPr>
      <w:rFonts w:ascii="Times" w:eastAsia="SimSun" w:hAnsi="Times" w:cs="Times"/>
      <w:szCs w:val="20"/>
    </w:rPr>
  </w:style>
  <w:style w:type="paragraph" w:customStyle="1" w:styleId="mainheader">
    <w:name w:val="mainheader"/>
    <w:basedOn w:val="Normale"/>
    <w:pPr>
      <w:spacing w:before="280" w:after="280"/>
    </w:pPr>
    <w:rPr>
      <w:rFonts w:ascii="Verdana" w:hAnsi="Verdana" w:cs="Verdana"/>
      <w:b/>
      <w:bCs/>
      <w:sz w:val="27"/>
      <w:szCs w:val="27"/>
    </w:rPr>
  </w:style>
  <w:style w:type="paragraph" w:customStyle="1" w:styleId="part">
    <w:name w:val="part"/>
    <w:basedOn w:val="Normale"/>
    <w:next w:val="Normale"/>
    <w:pPr>
      <w:keepNext/>
      <w:widowControl w:val="0"/>
      <w:autoSpaceDE w:val="0"/>
      <w:spacing w:before="240" w:after="60"/>
      <w:jc w:val="center"/>
    </w:pPr>
    <w:rPr>
      <w:rFonts w:ascii="Times" w:eastAsia="Batang" w:hAnsi="Times" w:cs="Times"/>
      <w:b/>
      <w:bCs/>
      <w:sz w:val="40"/>
      <w:szCs w:val="40"/>
      <w:lang w:eastAsia="en-US"/>
    </w:rPr>
  </w:style>
  <w:style w:type="paragraph" w:styleId="PreformattatoHTML">
    <w:name w:val="HTML Preformatted"/>
    <w:basedOn w:val="Normal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t-IT"/>
    </w:rPr>
  </w:style>
  <w:style w:type="paragraph" w:styleId="Rientrocorpodeltesto">
    <w:name w:val="Body Text Indent"/>
    <w:basedOn w:val="Normale"/>
    <w:pPr>
      <w:spacing w:line="360" w:lineRule="auto"/>
      <w:ind w:firstLine="708"/>
      <w:jc w:val="both"/>
    </w:pPr>
  </w:style>
  <w:style w:type="paragraph" w:customStyle="1" w:styleId="title1">
    <w:name w:val="title1"/>
    <w:basedOn w:val="Normale"/>
    <w:rPr>
      <w:sz w:val="29"/>
      <w:szCs w:val="29"/>
      <w:lang w:val="it-IT"/>
    </w:rPr>
  </w:style>
  <w:style w:type="paragraph" w:customStyle="1" w:styleId="rprtbody1">
    <w:name w:val="rprtbody1"/>
    <w:basedOn w:val="Normale"/>
    <w:pPr>
      <w:spacing w:before="34" w:after="34"/>
    </w:pPr>
    <w:rPr>
      <w:sz w:val="28"/>
      <w:szCs w:val="28"/>
      <w:lang w:val="it-IT"/>
    </w:rPr>
  </w:style>
  <w:style w:type="paragraph" w:customStyle="1" w:styleId="aux1">
    <w:name w:val="aux1"/>
    <w:basedOn w:val="Normale"/>
    <w:pPr>
      <w:spacing w:line="320" w:lineRule="atLeast"/>
    </w:pPr>
    <w:rPr>
      <w:lang w:val="it-IT"/>
    </w:rPr>
  </w:style>
  <w:style w:type="paragraph" w:customStyle="1" w:styleId="IntensivesAnfhrungszeichen1">
    <w:name w:val="Intensives Anführungszeichen1"/>
    <w:basedOn w:val="Normale"/>
    <w:next w:val="Normale"/>
    <w:pPr>
      <w:pBdr>
        <w:top w:val="none" w:sz="0" w:space="0" w:color="000000"/>
        <w:left w:val="none" w:sz="0" w:space="0" w:color="000000"/>
        <w:bottom w:val="single" w:sz="4" w:space="4" w:color="4F81BD"/>
        <w:right w:val="none" w:sz="0" w:space="0" w:color="000000"/>
      </w:pBdr>
      <w:spacing w:before="200" w:after="280"/>
      <w:ind w:left="936" w:right="936"/>
    </w:pPr>
    <w:rPr>
      <w:b/>
      <w:bCs/>
      <w:i/>
      <w:iCs/>
      <w:color w:val="4F81BD"/>
      <w:lang w:val="de-DE"/>
    </w:rPr>
  </w:style>
  <w:style w:type="paragraph" w:styleId="Testonotaapidipagina">
    <w:name w:val="footnote text"/>
    <w:basedOn w:val="Normale"/>
    <w:rPr>
      <w:sz w:val="20"/>
      <w:szCs w:val="20"/>
      <w:lang w:val="de-DE"/>
    </w:rPr>
  </w:style>
  <w:style w:type="paragraph" w:styleId="Testonotadichiusura">
    <w:name w:val="endnote text"/>
    <w:basedOn w:val="Normale"/>
    <w:rPr>
      <w:sz w:val="20"/>
      <w:szCs w:val="20"/>
      <w:lang w:val="de-DE"/>
    </w:rPr>
  </w:style>
  <w:style w:type="paragraph" w:styleId="Puntoelenco">
    <w:name w:val="List Bullet"/>
    <w:basedOn w:val="Normale"/>
    <w:pPr>
      <w:numPr>
        <w:numId w:val="2"/>
      </w:numPr>
    </w:pPr>
    <w:rPr>
      <w:lang w:val="de-DE"/>
    </w:rPr>
  </w:style>
  <w:style w:type="paragraph" w:styleId="Testocommento">
    <w:name w:val="annotation text"/>
    <w:basedOn w:val="Normale"/>
    <w:rPr>
      <w:sz w:val="20"/>
      <w:szCs w:val="20"/>
      <w:lang w:val="de-DE"/>
    </w:rPr>
  </w:style>
  <w:style w:type="paragraph" w:styleId="Soggettocommento">
    <w:name w:val="annotation subject"/>
    <w:basedOn w:val="Testocommento"/>
    <w:next w:val="Testocommento"/>
    <w:rPr>
      <w:b/>
      <w:bCs/>
    </w:rPr>
  </w:style>
  <w:style w:type="paragraph" w:customStyle="1" w:styleId="a">
    <w:name w:val="Παράγραφος λίστας"/>
    <w:basedOn w:val="Normale"/>
    <w:pPr>
      <w:ind w:left="720"/>
      <w:contextualSpacing/>
    </w:pPr>
    <w:rPr>
      <w:lang w:val="el-GR"/>
    </w:rPr>
  </w:style>
  <w:style w:type="paragraph" w:customStyle="1" w:styleId="authors1">
    <w:name w:val="authors1"/>
    <w:basedOn w:val="Normale"/>
    <w:pPr>
      <w:spacing w:before="72" w:line="240" w:lineRule="atLeast"/>
      <w:ind w:left="825"/>
    </w:pPr>
    <w:rPr>
      <w:sz w:val="22"/>
      <w:szCs w:val="22"/>
      <w:lang w:val="el-GR"/>
    </w:rPr>
  </w:style>
  <w:style w:type="paragraph" w:customStyle="1" w:styleId="Title10">
    <w:name w:val="Title1"/>
    <w:basedOn w:val="Normale"/>
    <w:pPr>
      <w:spacing w:before="280" w:after="280"/>
    </w:pPr>
    <w:rPr>
      <w:lang w:val="el-GR"/>
    </w:rPr>
  </w:style>
  <w:style w:type="paragraph" w:customStyle="1" w:styleId="orangebold2">
    <w:name w:val="orangebold2"/>
    <w:basedOn w:val="Normale"/>
    <w:pPr>
      <w:spacing w:before="280" w:after="280"/>
    </w:pPr>
    <w:rPr>
      <w:lang w:val="el-GR"/>
    </w:rPr>
  </w:style>
  <w:style w:type="paragraph" w:customStyle="1" w:styleId="desc1">
    <w:name w:val="desc1"/>
    <w:basedOn w:val="Normale"/>
    <w:pPr>
      <w:spacing w:before="280" w:after="280"/>
    </w:pPr>
    <w:rPr>
      <w:sz w:val="28"/>
      <w:szCs w:val="28"/>
      <w:lang w:val="el-GR"/>
    </w:rPr>
  </w:style>
  <w:style w:type="paragraph" w:customStyle="1" w:styleId="details1">
    <w:name w:val="details1"/>
    <w:basedOn w:val="Normale"/>
    <w:pPr>
      <w:spacing w:before="280" w:after="280"/>
    </w:pPr>
    <w:rPr>
      <w:lang w:val="el-GR"/>
    </w:rPr>
  </w:style>
  <w:style w:type="paragraph" w:customStyle="1" w:styleId="desc">
    <w:name w:val="desc"/>
    <w:basedOn w:val="Normale"/>
    <w:pPr>
      <w:spacing w:before="280" w:after="280"/>
    </w:pPr>
    <w:rPr>
      <w:lang w:val="el-GR"/>
    </w:rPr>
  </w:style>
  <w:style w:type="paragraph" w:customStyle="1" w:styleId="details">
    <w:name w:val="details"/>
    <w:basedOn w:val="Normale"/>
    <w:pPr>
      <w:spacing w:before="280" w:after="280"/>
    </w:pPr>
    <w:rPr>
      <w:lang w:val="el-GR"/>
    </w:rPr>
  </w:style>
  <w:style w:type="paragraph" w:customStyle="1" w:styleId="yenexitesis">
    <w:name w:val="yenexi_tesis"/>
    <w:basedOn w:val="Normale"/>
    <w:pPr>
      <w:spacing w:before="120" w:after="120" w:line="360" w:lineRule="auto"/>
      <w:jc w:val="both"/>
    </w:pPr>
    <w:rPr>
      <w:rFonts w:ascii="Arial" w:hAnsi="Arial" w:cs="Arial"/>
    </w:rPr>
  </w:style>
  <w:style w:type="paragraph" w:customStyle="1" w:styleId="MRMC">
    <w:name w:val="MRMC"/>
    <w:basedOn w:val="Normale"/>
    <w:pPr>
      <w:widowControl w:val="0"/>
      <w:spacing w:line="480" w:lineRule="auto"/>
      <w:jc w:val="both"/>
    </w:pPr>
    <w:rPr>
      <w:rFonts w:eastAsia="DejaVu Sans"/>
    </w:rPr>
  </w:style>
  <w:style w:type="paragraph" w:styleId="Corpodeltesto2">
    <w:name w:val="Body Text 2"/>
    <w:basedOn w:val="Normale"/>
    <w:pPr>
      <w:spacing w:line="480" w:lineRule="auto"/>
      <w:jc w:val="both"/>
    </w:pPr>
    <w:rPr>
      <w:szCs w:val="20"/>
    </w:rPr>
  </w:style>
  <w:style w:type="paragraph" w:customStyle="1" w:styleId="NormaleCorsivo">
    <w:name w:val="Normale + Corsivo"/>
    <w:basedOn w:val="Normale"/>
    <w:rPr>
      <w:i/>
      <w:vertAlign w:val="superscript"/>
      <w:lang w:val="it-IT"/>
    </w:rPr>
  </w:style>
  <w:style w:type="paragraph" w:customStyle="1" w:styleId="TAMainText">
    <w:name w:val="TA_Main_Text"/>
    <w:basedOn w:val="Normale"/>
    <w:pPr>
      <w:spacing w:line="480" w:lineRule="auto"/>
      <w:ind w:firstLine="202"/>
      <w:jc w:val="both"/>
    </w:pPr>
    <w:rPr>
      <w:rFonts w:ascii="Times" w:hAnsi="Times" w:cs="Times"/>
      <w:szCs w:val="20"/>
    </w:rPr>
  </w:style>
  <w:style w:type="paragraph" w:customStyle="1" w:styleId="BATitle">
    <w:name w:val="BA_Title"/>
    <w:basedOn w:val="Normale"/>
    <w:next w:val="Normale"/>
    <w:pPr>
      <w:spacing w:before="720" w:after="360" w:line="480" w:lineRule="auto"/>
      <w:jc w:val="center"/>
    </w:pPr>
    <w:rPr>
      <w:sz w:val="44"/>
      <w:szCs w:val="20"/>
    </w:rPr>
  </w:style>
  <w:style w:type="paragraph" w:customStyle="1" w:styleId="BBAuthorName">
    <w:name w:val="BB_Author_Name"/>
    <w:basedOn w:val="Normale"/>
    <w:next w:val="Normale"/>
    <w:pPr>
      <w:spacing w:after="240" w:line="480" w:lineRule="auto"/>
      <w:jc w:val="center"/>
    </w:pPr>
    <w:rPr>
      <w:rFonts w:ascii="Times" w:hAnsi="Times" w:cs="Times"/>
      <w:i/>
      <w:szCs w:val="20"/>
    </w:rPr>
  </w:style>
  <w:style w:type="paragraph" w:customStyle="1" w:styleId="BDAbstract">
    <w:name w:val="BD_Abstract"/>
    <w:basedOn w:val="Normale"/>
    <w:next w:val="Normale"/>
    <w:pPr>
      <w:spacing w:before="360" w:after="360" w:line="480" w:lineRule="auto"/>
      <w:jc w:val="both"/>
    </w:pPr>
    <w:rPr>
      <w:rFonts w:ascii="Times" w:hAnsi="Times" w:cs="Times"/>
      <w:szCs w:val="20"/>
    </w:rPr>
  </w:style>
  <w:style w:type="paragraph" w:customStyle="1" w:styleId="TFReferencesSection">
    <w:name w:val="TF_References_Section"/>
    <w:basedOn w:val="Normale"/>
    <w:pPr>
      <w:spacing w:after="200" w:line="480" w:lineRule="auto"/>
      <w:ind w:firstLine="187"/>
      <w:jc w:val="both"/>
    </w:pPr>
    <w:rPr>
      <w:rFonts w:ascii="Times" w:hAnsi="Times" w:cs="Times"/>
      <w:szCs w:val="20"/>
    </w:rPr>
  </w:style>
  <w:style w:type="paragraph" w:customStyle="1" w:styleId="BCAuthorAddress">
    <w:name w:val="BC_Author_Address"/>
    <w:basedOn w:val="Normale"/>
    <w:next w:val="BIEmailAddress"/>
    <w:pPr>
      <w:spacing w:after="240" w:line="480" w:lineRule="auto"/>
      <w:jc w:val="center"/>
    </w:pPr>
    <w:rPr>
      <w:rFonts w:ascii="Times" w:hAnsi="Times" w:cs="Times"/>
      <w:szCs w:val="20"/>
    </w:rPr>
  </w:style>
  <w:style w:type="paragraph" w:customStyle="1" w:styleId="AIReceivedDate">
    <w:name w:val="AI_Received_Date"/>
    <w:basedOn w:val="Normale"/>
    <w:next w:val="BDAbstract"/>
    <w:pPr>
      <w:spacing w:after="240" w:line="480" w:lineRule="auto"/>
      <w:jc w:val="both"/>
    </w:pPr>
    <w:rPr>
      <w:rFonts w:ascii="Times" w:hAnsi="Times" w:cs="Times"/>
      <w:b/>
      <w:szCs w:val="20"/>
    </w:rPr>
  </w:style>
  <w:style w:type="paragraph" w:customStyle="1" w:styleId="TDAcknowledgments">
    <w:name w:val="TD_Acknowledgments"/>
    <w:basedOn w:val="Normale"/>
    <w:next w:val="Normale"/>
    <w:pPr>
      <w:spacing w:before="200" w:after="200" w:line="480" w:lineRule="auto"/>
      <w:ind w:firstLine="202"/>
      <w:jc w:val="both"/>
    </w:pPr>
    <w:rPr>
      <w:rFonts w:ascii="Times" w:hAnsi="Times" w:cs="Times"/>
      <w:szCs w:val="20"/>
    </w:rPr>
  </w:style>
  <w:style w:type="paragraph" w:customStyle="1" w:styleId="TESupportingInformation">
    <w:name w:val="TE_Supporting_Information"/>
    <w:basedOn w:val="Normale"/>
    <w:next w:val="Normale"/>
    <w:pPr>
      <w:spacing w:after="200" w:line="480" w:lineRule="auto"/>
      <w:ind w:firstLine="187"/>
      <w:jc w:val="both"/>
    </w:pPr>
    <w:rPr>
      <w:rFonts w:ascii="Times" w:hAnsi="Times" w:cs="Times"/>
      <w:szCs w:val="20"/>
    </w:rPr>
  </w:style>
  <w:style w:type="paragraph" w:customStyle="1" w:styleId="VCSchemeTitle">
    <w:name w:val="VC_Scheme_Title"/>
    <w:basedOn w:val="Normale"/>
    <w:next w:val="Normale"/>
    <w:pPr>
      <w:spacing w:after="200" w:line="480" w:lineRule="auto"/>
      <w:jc w:val="both"/>
    </w:pPr>
    <w:rPr>
      <w:rFonts w:ascii="Times" w:hAnsi="Times" w:cs="Times"/>
      <w:szCs w:val="20"/>
    </w:rPr>
  </w:style>
  <w:style w:type="paragraph" w:customStyle="1" w:styleId="VDTableTitle">
    <w:name w:val="VD_Table_Title"/>
    <w:basedOn w:val="Normale"/>
    <w:next w:val="Normale"/>
    <w:pPr>
      <w:spacing w:after="200" w:line="480" w:lineRule="auto"/>
      <w:jc w:val="both"/>
    </w:pPr>
    <w:rPr>
      <w:rFonts w:ascii="Times" w:hAnsi="Times" w:cs="Times"/>
      <w:szCs w:val="20"/>
    </w:rPr>
  </w:style>
  <w:style w:type="paragraph" w:customStyle="1" w:styleId="VAFigureCaption">
    <w:name w:val="VA_Figure_Caption"/>
    <w:basedOn w:val="Normale"/>
    <w:next w:val="Normale"/>
    <w:pPr>
      <w:spacing w:after="200" w:line="480" w:lineRule="auto"/>
      <w:jc w:val="both"/>
    </w:pPr>
    <w:rPr>
      <w:rFonts w:ascii="Times" w:hAnsi="Times" w:cs="Times"/>
      <w:szCs w:val="20"/>
    </w:rPr>
  </w:style>
  <w:style w:type="paragraph" w:customStyle="1" w:styleId="VBChartTitle">
    <w:name w:val="VB_Chart_Title"/>
    <w:basedOn w:val="Normale"/>
    <w:next w:val="Normale"/>
    <w:pPr>
      <w:spacing w:after="200" w:line="480" w:lineRule="auto"/>
      <w:jc w:val="both"/>
    </w:pPr>
    <w:rPr>
      <w:rFonts w:ascii="Times" w:hAnsi="Times" w:cs="Times"/>
      <w:szCs w:val="20"/>
    </w:rPr>
  </w:style>
  <w:style w:type="paragraph" w:customStyle="1" w:styleId="FETableFootnote">
    <w:name w:val="FE_Table_Footnote"/>
    <w:basedOn w:val="Normale"/>
    <w:next w:val="Normale"/>
    <w:pPr>
      <w:spacing w:after="200"/>
      <w:ind w:firstLine="187"/>
      <w:jc w:val="both"/>
    </w:pPr>
    <w:rPr>
      <w:rFonts w:ascii="Times" w:hAnsi="Times" w:cs="Times"/>
      <w:szCs w:val="20"/>
    </w:rPr>
  </w:style>
  <w:style w:type="paragraph" w:customStyle="1" w:styleId="FCChartFootnote">
    <w:name w:val="FC_Chart_Footnote"/>
    <w:basedOn w:val="Normale"/>
    <w:next w:val="Normale"/>
    <w:pPr>
      <w:spacing w:after="200"/>
      <w:ind w:firstLine="187"/>
      <w:jc w:val="both"/>
    </w:pPr>
    <w:rPr>
      <w:rFonts w:ascii="Times" w:hAnsi="Times" w:cs="Times"/>
      <w:szCs w:val="20"/>
    </w:rPr>
  </w:style>
  <w:style w:type="paragraph" w:customStyle="1" w:styleId="FDSchemeFootnote">
    <w:name w:val="FD_Scheme_Footnote"/>
    <w:basedOn w:val="Normale"/>
    <w:next w:val="Normale"/>
    <w:pPr>
      <w:spacing w:after="200"/>
      <w:ind w:firstLine="187"/>
      <w:jc w:val="both"/>
    </w:pPr>
    <w:rPr>
      <w:rFonts w:ascii="Times" w:hAnsi="Times" w:cs="Times"/>
      <w:szCs w:val="20"/>
    </w:rPr>
  </w:style>
  <w:style w:type="paragraph" w:customStyle="1" w:styleId="TCTableBody">
    <w:name w:val="TC_Table_Body"/>
    <w:basedOn w:val="Normale"/>
    <w:pPr>
      <w:spacing w:after="200"/>
      <w:jc w:val="both"/>
    </w:pPr>
    <w:rPr>
      <w:rFonts w:ascii="Times" w:hAnsi="Times" w:cs="Times"/>
      <w:szCs w:val="20"/>
    </w:rPr>
  </w:style>
  <w:style w:type="paragraph" w:customStyle="1" w:styleId="AFTitleRunningHead">
    <w:name w:val="AF_Title_Running_Head"/>
    <w:basedOn w:val="Normale"/>
    <w:next w:val="TAMainText"/>
    <w:pPr>
      <w:spacing w:after="200" w:line="480" w:lineRule="auto"/>
      <w:jc w:val="both"/>
    </w:pPr>
    <w:rPr>
      <w:rFonts w:ascii="Times" w:hAnsi="Times" w:cs="Times"/>
      <w:szCs w:val="20"/>
    </w:rPr>
  </w:style>
  <w:style w:type="paragraph" w:customStyle="1" w:styleId="BEAuthorBiography">
    <w:name w:val="BE_Author_Biography"/>
    <w:basedOn w:val="Normale"/>
    <w:pPr>
      <w:spacing w:after="200" w:line="480" w:lineRule="auto"/>
      <w:jc w:val="both"/>
    </w:pPr>
    <w:rPr>
      <w:rFonts w:ascii="Times" w:hAnsi="Times" w:cs="Times"/>
      <w:szCs w:val="20"/>
    </w:rPr>
  </w:style>
  <w:style w:type="paragraph" w:customStyle="1" w:styleId="SNSynopsisTOC">
    <w:name w:val="SN_Synopsis_TOC"/>
    <w:basedOn w:val="Normale"/>
    <w:pPr>
      <w:spacing w:after="200" w:line="480" w:lineRule="auto"/>
      <w:jc w:val="both"/>
    </w:pPr>
    <w:rPr>
      <w:rFonts w:ascii="Times" w:hAnsi="Times" w:cs="Times"/>
      <w:szCs w:val="20"/>
    </w:rPr>
  </w:style>
  <w:style w:type="paragraph" w:customStyle="1" w:styleId="BGKeywords">
    <w:name w:val="BG_Keywords"/>
    <w:basedOn w:val="Normale"/>
    <w:pPr>
      <w:spacing w:after="200" w:line="480" w:lineRule="auto"/>
      <w:jc w:val="both"/>
    </w:pPr>
    <w:rPr>
      <w:rFonts w:ascii="Times" w:hAnsi="Times" w:cs="Times"/>
      <w:szCs w:val="20"/>
    </w:rPr>
  </w:style>
  <w:style w:type="paragraph" w:customStyle="1" w:styleId="BHBriefs">
    <w:name w:val="BH_Briefs"/>
    <w:basedOn w:val="Normale"/>
    <w:pPr>
      <w:spacing w:after="200" w:line="480" w:lineRule="auto"/>
      <w:jc w:val="both"/>
    </w:pPr>
    <w:rPr>
      <w:rFonts w:ascii="Times" w:hAnsi="Times" w:cs="Times"/>
      <w:szCs w:val="20"/>
    </w:rPr>
  </w:style>
  <w:style w:type="paragraph" w:customStyle="1" w:styleId="BMCLNORMAL">
    <w:name w:val="BMCL NORMAL"/>
    <w:basedOn w:val="Normale"/>
    <w:next w:val="Normale"/>
    <w:pPr>
      <w:widowControl w:val="0"/>
      <w:spacing w:line="230" w:lineRule="exact"/>
      <w:jc w:val="both"/>
    </w:pPr>
    <w:rPr>
      <w:sz w:val="21"/>
      <w:szCs w:val="20"/>
    </w:rPr>
  </w:style>
  <w:style w:type="paragraph" w:customStyle="1" w:styleId="BMCLRECEIPT">
    <w:name w:val="BMCL RECEIPT"/>
    <w:basedOn w:val="BMCLNORMAL"/>
    <w:next w:val="Normale"/>
    <w:pPr>
      <w:spacing w:after="240" w:line="200" w:lineRule="exact"/>
      <w:jc w:val="center"/>
    </w:pPr>
    <w:rPr>
      <w:sz w:val="16"/>
    </w:rPr>
  </w:style>
  <w:style w:type="paragraph" w:customStyle="1" w:styleId="ColorfulList-Accent11">
    <w:name w:val="Colorful List - Accent 11"/>
    <w:basedOn w:val="Normale"/>
    <w:qFormat/>
    <w:pPr>
      <w:numPr>
        <w:numId w:val="10"/>
      </w:numPr>
      <w:spacing w:after="200" w:line="276" w:lineRule="auto"/>
      <w:ind w:left="284" w:hanging="284"/>
      <w:contextualSpacing/>
      <w:jc w:val="both"/>
    </w:pPr>
    <w:rPr>
      <w:rFonts w:eastAsia="PMingLiU"/>
      <w:color w:val="131413"/>
      <w:sz w:val="20"/>
      <w:szCs w:val="20"/>
      <w:lang w:eastAsia="zh-TW"/>
    </w:rPr>
  </w:style>
  <w:style w:type="paragraph" w:customStyle="1" w:styleId="BMCLREFERENCE">
    <w:name w:val="BMCL REFERENCE"/>
    <w:basedOn w:val="BMCLNORMAL"/>
    <w:pPr>
      <w:tabs>
        <w:tab w:val="left" w:pos="360"/>
      </w:tabs>
    </w:pPr>
    <w:rPr>
      <w:sz w:val="20"/>
    </w:rPr>
  </w:style>
  <w:style w:type="paragraph" w:customStyle="1" w:styleId="Estndar">
    <w:name w:val="Estándar"/>
    <w:basedOn w:val="Normale"/>
    <w:pPr>
      <w:overflowPunct w:val="0"/>
      <w:autoSpaceDE w:val="0"/>
      <w:spacing w:line="360" w:lineRule="auto"/>
      <w:jc w:val="center"/>
      <w:textAlignment w:val="baseline"/>
    </w:pPr>
    <w:rPr>
      <w:rFonts w:ascii="Helv" w:hAnsi="Helv" w:cs="Helv"/>
      <w:sz w:val="20"/>
      <w:szCs w:val="20"/>
      <w:lang w:val="en-GB"/>
    </w:rPr>
  </w:style>
  <w:style w:type="paragraph" w:styleId="Rientrocorpodeltesto3">
    <w:name w:val="Body Text Indent 3"/>
    <w:basedOn w:val="Normale"/>
    <w:pPr>
      <w:spacing w:after="120"/>
      <w:ind w:left="283"/>
    </w:pPr>
    <w:rPr>
      <w:sz w:val="16"/>
      <w:szCs w:val="16"/>
      <w:lang w:val="es-ES" w:bidi="he-IL"/>
    </w:rPr>
  </w:style>
  <w:style w:type="paragraph" w:customStyle="1" w:styleId="msolistparagraph0">
    <w:name w:val="msolistparagraph"/>
    <w:basedOn w:val="Normale"/>
    <w:pPr>
      <w:spacing w:after="200"/>
      <w:ind w:left="720"/>
    </w:pPr>
    <w:rPr>
      <w:rFonts w:eastAsia="Cambria"/>
      <w:szCs w:val="20"/>
    </w:rPr>
  </w:style>
  <w:style w:type="paragraph" w:customStyle="1" w:styleId="Titolo10">
    <w:name w:val="Titolo1"/>
    <w:basedOn w:val="Normale"/>
    <w:next w:val="Normale"/>
    <w:pPr>
      <w:spacing w:before="230" w:after="230" w:line="300" w:lineRule="exact"/>
      <w:jc w:val="center"/>
    </w:pPr>
    <w:rPr>
      <w:rFonts w:eastAsia="MS Mincho"/>
      <w:b/>
      <w:sz w:val="28"/>
      <w:szCs w:val="28"/>
      <w:lang w:val="en-GB" w:eastAsia="ja-JP"/>
    </w:rPr>
  </w:style>
  <w:style w:type="paragraph" w:customStyle="1" w:styleId="Authors">
    <w:name w:val="Authors"/>
    <w:basedOn w:val="Normale"/>
    <w:pPr>
      <w:spacing w:before="360" w:after="460" w:line="260" w:lineRule="exact"/>
      <w:jc w:val="center"/>
    </w:pPr>
    <w:rPr>
      <w:rFonts w:eastAsia="MS Mincho"/>
      <w:b/>
      <w:lang w:val="en-GB" w:eastAsia="ja-JP"/>
    </w:rPr>
  </w:style>
  <w:style w:type="paragraph" w:customStyle="1" w:styleId="Adress">
    <w:name w:val="Adress"/>
    <w:basedOn w:val="Normale"/>
    <w:pPr>
      <w:spacing w:line="180" w:lineRule="exact"/>
      <w:ind w:left="425" w:hanging="425"/>
    </w:pPr>
    <w:rPr>
      <w:rFonts w:eastAsia="MS Mincho"/>
      <w:sz w:val="16"/>
      <w:szCs w:val="20"/>
      <w:lang w:val="en-GB" w:eastAsia="ja-JP"/>
    </w:rPr>
  </w:style>
  <w:style w:type="paragraph" w:customStyle="1" w:styleId="Keywords">
    <w:name w:val="Keywords"/>
    <w:basedOn w:val="Normale"/>
    <w:pPr>
      <w:spacing w:after="120" w:line="220" w:lineRule="exact"/>
      <w:ind w:left="170" w:right="170"/>
    </w:pPr>
    <w:rPr>
      <w:rFonts w:eastAsia="MS Mincho"/>
      <w:sz w:val="18"/>
      <w:szCs w:val="20"/>
      <w:lang w:val="en-GB" w:eastAsia="ja-JP"/>
    </w:rPr>
  </w:style>
  <w:style w:type="paragraph" w:customStyle="1" w:styleId="HAcknowledgment">
    <w:name w:val="HAcknowledgment"/>
    <w:basedOn w:val="Normale"/>
    <w:pPr>
      <w:spacing w:before="360" w:after="230" w:line="240" w:lineRule="exact"/>
    </w:pPr>
    <w:rPr>
      <w:rFonts w:eastAsia="MS Mincho"/>
      <w:b/>
      <w:sz w:val="22"/>
      <w:lang w:val="en-GB" w:eastAsia="ja-JP"/>
    </w:rPr>
  </w:style>
  <w:style w:type="paragraph" w:customStyle="1" w:styleId="H1">
    <w:name w:val="H1"/>
    <w:basedOn w:val="Normale"/>
    <w:pPr>
      <w:spacing w:before="360" w:after="230" w:line="240" w:lineRule="exact"/>
    </w:pPr>
    <w:rPr>
      <w:rFonts w:eastAsia="MS Mincho"/>
      <w:b/>
      <w:sz w:val="22"/>
      <w:lang w:val="en-GB" w:eastAsia="ja-JP"/>
    </w:rPr>
  </w:style>
  <w:style w:type="paragraph" w:customStyle="1" w:styleId="SchemeCaption">
    <w:name w:val="SchemeCaption"/>
    <w:basedOn w:val="Normale"/>
    <w:pPr>
      <w:spacing w:before="230" w:after="460" w:line="180" w:lineRule="exact"/>
      <w:jc w:val="both"/>
    </w:pPr>
    <w:rPr>
      <w:rFonts w:eastAsia="MS Mincho"/>
      <w:sz w:val="16"/>
      <w:szCs w:val="14"/>
      <w:lang w:val="en-GB" w:eastAsia="ja-JP"/>
    </w:rPr>
  </w:style>
  <w:style w:type="paragraph" w:customStyle="1" w:styleId="FigureCaption">
    <w:name w:val="FigureCaption"/>
    <w:basedOn w:val="Normale"/>
    <w:pPr>
      <w:spacing w:before="230" w:after="460" w:line="180" w:lineRule="exact"/>
      <w:jc w:val="both"/>
    </w:pPr>
    <w:rPr>
      <w:rFonts w:eastAsia="MS Mincho"/>
      <w:sz w:val="16"/>
      <w:szCs w:val="14"/>
      <w:lang w:val="en-GB" w:eastAsia="ja-JP"/>
    </w:rPr>
  </w:style>
  <w:style w:type="paragraph" w:customStyle="1" w:styleId="TableCaption">
    <w:name w:val="TableCaption"/>
    <w:basedOn w:val="Normale"/>
    <w:pPr>
      <w:spacing w:before="230" w:after="120" w:line="180" w:lineRule="exact"/>
      <w:jc w:val="both"/>
    </w:pPr>
    <w:rPr>
      <w:rFonts w:eastAsia="MS Mincho"/>
      <w:sz w:val="16"/>
      <w:szCs w:val="14"/>
      <w:lang w:val="en-GB" w:eastAsia="ja-JP"/>
    </w:rPr>
  </w:style>
  <w:style w:type="paragraph" w:customStyle="1" w:styleId="P2">
    <w:name w:val="P2"/>
    <w:basedOn w:val="Normale"/>
    <w:pPr>
      <w:spacing w:line="230" w:lineRule="exact"/>
    </w:pPr>
    <w:rPr>
      <w:rFonts w:eastAsia="MS Mincho"/>
      <w:sz w:val="16"/>
      <w:lang w:val="en-GB" w:eastAsia="ja-JP"/>
    </w:rPr>
  </w:style>
  <w:style w:type="paragraph" w:customStyle="1" w:styleId="TableFoot">
    <w:name w:val="TableFoot"/>
    <w:basedOn w:val="Normale"/>
    <w:pPr>
      <w:spacing w:before="60" w:after="460" w:line="180" w:lineRule="exact"/>
      <w:jc w:val="both"/>
    </w:pPr>
    <w:rPr>
      <w:rFonts w:eastAsia="MS Mincho"/>
      <w:sz w:val="16"/>
      <w:szCs w:val="14"/>
      <w:lang w:val="en-GB" w:eastAsia="ja-JP"/>
    </w:rPr>
  </w:style>
  <w:style w:type="paragraph" w:customStyle="1" w:styleId="P1">
    <w:name w:val="P1"/>
    <w:basedOn w:val="TableCaption"/>
    <w:pPr>
      <w:spacing w:line="220" w:lineRule="exact"/>
      <w:ind w:firstLine="170"/>
    </w:pPr>
    <w:rPr>
      <w:sz w:val="18"/>
    </w:rPr>
  </w:style>
  <w:style w:type="paragraph" w:customStyle="1" w:styleId="References">
    <w:name w:val="References"/>
    <w:basedOn w:val="Normale"/>
    <w:pPr>
      <w:spacing w:after="120" w:line="180" w:lineRule="exact"/>
      <w:ind w:left="425" w:hanging="425"/>
      <w:jc w:val="both"/>
    </w:pPr>
    <w:rPr>
      <w:rFonts w:eastAsia="MS Mincho"/>
      <w:sz w:val="16"/>
      <w:szCs w:val="14"/>
      <w:lang w:val="en-GB" w:eastAsia="ja-JP"/>
    </w:rPr>
  </w:style>
  <w:style w:type="paragraph" w:customStyle="1" w:styleId="GAAuthors">
    <w:name w:val="GAAuthors"/>
    <w:basedOn w:val="Normale"/>
    <w:pPr>
      <w:spacing w:before="360" w:after="60" w:line="220" w:lineRule="exact"/>
    </w:pPr>
    <w:rPr>
      <w:rFonts w:eastAsia="MS Mincho"/>
      <w:b/>
      <w:sz w:val="18"/>
      <w:szCs w:val="20"/>
      <w:lang w:val="en-GB" w:eastAsia="ja-JP"/>
    </w:rPr>
  </w:style>
  <w:style w:type="paragraph" w:customStyle="1" w:styleId="GACatchPhrase">
    <w:name w:val="GACatchPhrase"/>
    <w:basedOn w:val="Normale"/>
    <w:pPr>
      <w:spacing w:before="40"/>
      <w:jc w:val="right"/>
    </w:pPr>
    <w:rPr>
      <w:rFonts w:eastAsia="MS Mincho" w:cs="Arial"/>
      <w:b/>
      <w:color w:val="008080"/>
      <w:sz w:val="18"/>
      <w:szCs w:val="16"/>
      <w:lang w:val="en-GB" w:eastAsia="ja-JP"/>
    </w:rPr>
  </w:style>
  <w:style w:type="paragraph" w:customStyle="1" w:styleId="GAText">
    <w:name w:val="GAText"/>
    <w:basedOn w:val="Normale"/>
    <w:pPr>
      <w:spacing w:before="120" w:line="220" w:lineRule="exact"/>
    </w:pPr>
    <w:rPr>
      <w:rFonts w:eastAsia="MS Mincho"/>
      <w:color w:val="000000"/>
      <w:sz w:val="18"/>
      <w:lang w:val="en-GB" w:eastAsia="ja-JP"/>
    </w:rPr>
  </w:style>
  <w:style w:type="paragraph" w:customStyle="1" w:styleId="GATitel">
    <w:name w:val="GATitel"/>
    <w:basedOn w:val="GAAuthors"/>
    <w:pPr>
      <w:spacing w:before="240"/>
    </w:pPr>
    <w:rPr>
      <w:b w:val="0"/>
    </w:rPr>
  </w:style>
  <w:style w:type="paragraph" w:customStyle="1" w:styleId="GAKeywords">
    <w:name w:val="GAKeywords"/>
    <w:basedOn w:val="Keywords"/>
    <w:pPr>
      <w:spacing w:before="200" w:after="0"/>
      <w:ind w:left="0" w:right="0"/>
    </w:pPr>
    <w:rPr>
      <w:b/>
      <w:szCs w:val="24"/>
    </w:rPr>
  </w:style>
  <w:style w:type="paragraph" w:styleId="Sottotitolo">
    <w:name w:val="Subtitle"/>
    <w:basedOn w:val="Normale"/>
    <w:next w:val="Normale"/>
    <w:qFormat/>
    <w:pPr>
      <w:spacing w:after="200" w:line="276" w:lineRule="auto"/>
    </w:pPr>
    <w:rPr>
      <w:rFonts w:ascii="Cambria" w:eastAsia="MS Gothic" w:hAnsi="Cambria" w:cs="Cambria"/>
      <w:i/>
      <w:iCs/>
      <w:color w:val="4F81BD"/>
      <w:spacing w:val="15"/>
      <w:lang w:val="it-IT"/>
    </w:rPr>
  </w:style>
  <w:style w:type="paragraph" w:customStyle="1" w:styleId="MediumGrid21">
    <w:name w:val="Medium Grid 21"/>
    <w:qFormat/>
    <w:pPr>
      <w:suppressAutoHyphens/>
    </w:pPr>
    <w:rPr>
      <w:rFonts w:ascii="Calibri" w:eastAsia="MS Mincho" w:hAnsi="Calibri" w:cs="Calibri"/>
      <w:sz w:val="22"/>
      <w:szCs w:val="22"/>
      <w:lang w:val="it-IT" w:eastAsia="zh-CN"/>
    </w:rPr>
  </w:style>
  <w:style w:type="paragraph" w:customStyle="1" w:styleId="1">
    <w:name w:val="목록 단락1"/>
    <w:basedOn w:val="Normale"/>
    <w:pPr>
      <w:widowControl w:val="0"/>
      <w:ind w:left="720"/>
      <w:contextualSpacing/>
    </w:pPr>
    <w:rPr>
      <w:rFonts w:ascii="Calibri" w:eastAsia="Malgun Gothic" w:hAnsi="Calibri" w:cs="Calibri"/>
      <w:sz w:val="22"/>
      <w:szCs w:val="22"/>
    </w:rPr>
  </w:style>
  <w:style w:type="paragraph" w:customStyle="1" w:styleId="authlist">
    <w:name w:val="auth_list"/>
    <w:basedOn w:val="Normale"/>
    <w:pPr>
      <w:spacing w:before="280" w:after="280"/>
    </w:pPr>
  </w:style>
  <w:style w:type="paragraph" w:customStyle="1" w:styleId="yiv1019216426msoheading7">
    <w:name w:val="yiv1019216426msoheading7"/>
    <w:basedOn w:val="Normale"/>
    <w:pPr>
      <w:spacing w:before="280" w:after="280"/>
    </w:pPr>
  </w:style>
  <w:style w:type="paragraph" w:customStyle="1" w:styleId="desc2">
    <w:name w:val="desc2"/>
    <w:basedOn w:val="Normale"/>
    <w:pPr>
      <w:spacing w:before="280" w:after="280"/>
    </w:pPr>
    <w:rPr>
      <w:sz w:val="28"/>
      <w:szCs w:val="28"/>
    </w:rPr>
  </w:style>
  <w:style w:type="paragraph" w:customStyle="1" w:styleId="ColorfulShading-Accent11">
    <w:name w:val="Colorful Shading - Accent 11"/>
    <w:pPr>
      <w:suppressAutoHyphens/>
    </w:pPr>
    <w:rPr>
      <w:sz w:val="24"/>
      <w:szCs w:val="24"/>
      <w:lang w:eastAsia="zh-CN"/>
    </w:rPr>
  </w:style>
  <w:style w:type="paragraph" w:customStyle="1" w:styleId="12FigureSchemecaption">
    <w:name w:val="12 Figure/Scheme caption"/>
    <w:pPr>
      <w:suppressAutoHyphens/>
      <w:spacing w:before="20" w:after="120" w:line="180" w:lineRule="exact"/>
      <w:jc w:val="both"/>
    </w:pPr>
    <w:rPr>
      <w:sz w:val="16"/>
    </w:rPr>
  </w:style>
  <w:style w:type="paragraph" w:customStyle="1" w:styleId="TableContents">
    <w:name w:val="Table Contents"/>
    <w:basedOn w:val="Normale"/>
    <w:pPr>
      <w:widowControl w:val="0"/>
      <w:suppressLineNumbers/>
    </w:pPr>
  </w:style>
  <w:style w:type="paragraph" w:customStyle="1" w:styleId="TableHeading">
    <w:name w:val="Table Heading"/>
    <w:basedOn w:val="TableContents"/>
    <w:pPr>
      <w:jc w:val="center"/>
    </w:pPr>
    <w:rPr>
      <w:b/>
      <w:bCs/>
    </w:rPr>
  </w:style>
  <w:style w:type="paragraph" w:customStyle="1" w:styleId="MDPI31text">
    <w:name w:val="MDPI_3.1_text"/>
    <w:qFormat/>
    <w:rsid w:val="00192712"/>
    <w:pPr>
      <w:adjustRightInd w:val="0"/>
      <w:snapToGrid w:val="0"/>
      <w:spacing w:line="228" w:lineRule="auto"/>
      <w:ind w:left="2608" w:firstLine="425"/>
      <w:jc w:val="both"/>
    </w:pPr>
    <w:rPr>
      <w:rFonts w:ascii="Palatino Linotype" w:hAnsi="Palatino Linotype"/>
      <w:snapToGrid w:val="0"/>
      <w:color w:val="000000"/>
      <w:szCs w:val="22"/>
      <w:lang w:eastAsia="de-DE" w:bidi="en-US"/>
    </w:rPr>
  </w:style>
  <w:style w:type="paragraph" w:customStyle="1" w:styleId="MDPI21heading1">
    <w:name w:val="MDPI_2.1_heading1"/>
    <w:qFormat/>
    <w:rsid w:val="00192712"/>
    <w:pPr>
      <w:adjustRightInd w:val="0"/>
      <w:snapToGrid w:val="0"/>
      <w:spacing w:before="240" w:after="60" w:line="228" w:lineRule="auto"/>
      <w:ind w:left="2608"/>
      <w:outlineLvl w:val="0"/>
    </w:pPr>
    <w:rPr>
      <w:rFonts w:ascii="Palatino Linotype" w:hAnsi="Palatino Linotype"/>
      <w:b/>
      <w:snapToGrid w:val="0"/>
      <w:color w:val="000000"/>
      <w:szCs w:val="22"/>
      <w:lang w:eastAsia="de-DE" w:bidi="en-US"/>
    </w:rPr>
  </w:style>
  <w:style w:type="paragraph" w:customStyle="1" w:styleId="MDPI22heading2">
    <w:name w:val="MDPI_2.2_heading2"/>
    <w:qFormat/>
    <w:rsid w:val="00D250A9"/>
    <w:pPr>
      <w:adjustRightInd w:val="0"/>
      <w:snapToGrid w:val="0"/>
      <w:spacing w:before="60" w:after="60" w:line="228" w:lineRule="auto"/>
      <w:ind w:left="2608"/>
      <w:outlineLvl w:val="1"/>
    </w:pPr>
    <w:rPr>
      <w:rFonts w:ascii="Palatino Linotype" w:hAnsi="Palatino Linotype"/>
      <w:i/>
      <w:noProof/>
      <w:snapToGrid w:val="0"/>
      <w:color w:val="000000"/>
      <w:szCs w:val="22"/>
      <w:lang w:eastAsia="de-DE" w:bidi="en-US"/>
    </w:rPr>
  </w:style>
  <w:style w:type="paragraph" w:customStyle="1" w:styleId="MDPI41tablecaption">
    <w:name w:val="MDPI_4.1_table_caption"/>
    <w:qFormat/>
    <w:rsid w:val="00D250A9"/>
    <w:pPr>
      <w:adjustRightInd w:val="0"/>
      <w:snapToGrid w:val="0"/>
      <w:spacing w:before="240" w:after="120" w:line="228" w:lineRule="auto"/>
      <w:ind w:left="2608"/>
    </w:pPr>
    <w:rPr>
      <w:rFonts w:ascii="Palatino Linotype" w:hAnsi="Palatino Linotype" w:cs="Cordia New"/>
      <w:color w:val="000000"/>
      <w:sz w:val="18"/>
      <w:szCs w:val="22"/>
      <w:lang w:eastAsia="de-DE" w:bidi="en-US"/>
    </w:rPr>
  </w:style>
  <w:style w:type="paragraph" w:customStyle="1" w:styleId="MDPI42tablebody">
    <w:name w:val="MDPI_4.2_table_body"/>
    <w:qFormat/>
    <w:rsid w:val="00D250A9"/>
    <w:pPr>
      <w:adjustRightInd w:val="0"/>
      <w:snapToGrid w:val="0"/>
      <w:spacing w:line="260" w:lineRule="atLeast"/>
      <w:jc w:val="center"/>
    </w:pPr>
    <w:rPr>
      <w:rFonts w:ascii="Palatino Linotype" w:hAnsi="Palatino Linotype"/>
      <w:snapToGrid w:val="0"/>
      <w:color w:val="000000"/>
      <w:lang w:eastAsia="de-DE" w:bidi="en-US"/>
    </w:rPr>
  </w:style>
  <w:style w:type="paragraph" w:customStyle="1" w:styleId="MDPI43tablefooter">
    <w:name w:val="MDPI_4.3_table_footer"/>
    <w:next w:val="MDPI31text"/>
    <w:qFormat/>
    <w:rsid w:val="00D250A9"/>
    <w:pPr>
      <w:adjustRightInd w:val="0"/>
      <w:snapToGrid w:val="0"/>
      <w:spacing w:line="228" w:lineRule="auto"/>
      <w:ind w:left="2608"/>
    </w:pPr>
    <w:rPr>
      <w:rFonts w:ascii="Palatino Linotype" w:hAnsi="Palatino Linotype" w:cs="Cordia New"/>
      <w:color w:val="000000"/>
      <w:sz w:val="18"/>
      <w:szCs w:val="22"/>
      <w:lang w:eastAsia="de-DE" w:bidi="en-US"/>
    </w:rPr>
  </w:style>
  <w:style w:type="paragraph" w:customStyle="1" w:styleId="MDPI51figurecaption">
    <w:name w:val="MDPI_5.1_figure_caption"/>
    <w:qFormat/>
    <w:rsid w:val="00352F04"/>
    <w:pPr>
      <w:adjustRightInd w:val="0"/>
      <w:snapToGrid w:val="0"/>
      <w:spacing w:before="120" w:after="240" w:line="228" w:lineRule="auto"/>
      <w:ind w:left="2608"/>
    </w:pPr>
    <w:rPr>
      <w:rFonts w:ascii="Palatino Linotype" w:hAnsi="Palatino Linotype"/>
      <w:color w:val="000000"/>
      <w:sz w:val="18"/>
      <w:lang w:eastAsia="de-DE" w:bidi="en-US"/>
    </w:rPr>
  </w:style>
  <w:style w:type="paragraph" w:styleId="Nessunaspaziatura">
    <w:name w:val="No Spacing"/>
    <w:uiPriority w:val="99"/>
    <w:qFormat/>
    <w:rsid w:val="002C3563"/>
    <w:pPr>
      <w:suppressAutoHyphens/>
    </w:pPr>
    <w:rPr>
      <w:sz w:val="24"/>
      <w:szCs w:val="24"/>
      <w:lang w:eastAsia="zh-CN"/>
    </w:rPr>
  </w:style>
  <w:style w:type="table" w:styleId="Grigliatabella">
    <w:name w:val="Table Grid"/>
    <w:basedOn w:val="Tabellanormale"/>
    <w:uiPriority w:val="39"/>
    <w:rsid w:val="002C3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9D1AF1"/>
    <w:rPr>
      <w:color w:val="808080"/>
    </w:rPr>
  </w:style>
  <w:style w:type="character" w:styleId="Menzionenonrisolta">
    <w:name w:val="Unresolved Mention"/>
    <w:basedOn w:val="Carpredefinitoparagrafo"/>
    <w:uiPriority w:val="99"/>
    <w:semiHidden/>
    <w:unhideWhenUsed/>
    <w:rsid w:val="00534558"/>
    <w:rPr>
      <w:color w:val="605E5C"/>
      <w:shd w:val="clear" w:color="auto" w:fill="E1DFDD"/>
    </w:rPr>
  </w:style>
  <w:style w:type="character" w:styleId="Rimandonotaapidipagina">
    <w:name w:val="footnote reference"/>
    <w:basedOn w:val="Carpredefinitoparagrafo"/>
    <w:uiPriority w:val="99"/>
    <w:semiHidden/>
    <w:unhideWhenUsed/>
    <w:rsid w:val="00426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6493">
      <w:bodyDiv w:val="1"/>
      <w:marLeft w:val="0"/>
      <w:marRight w:val="0"/>
      <w:marTop w:val="0"/>
      <w:marBottom w:val="0"/>
      <w:divBdr>
        <w:top w:val="none" w:sz="0" w:space="0" w:color="auto"/>
        <w:left w:val="none" w:sz="0" w:space="0" w:color="auto"/>
        <w:bottom w:val="none" w:sz="0" w:space="0" w:color="auto"/>
        <w:right w:val="none" w:sz="0" w:space="0" w:color="auto"/>
      </w:divBdr>
    </w:div>
    <w:div w:id="173232324">
      <w:bodyDiv w:val="1"/>
      <w:marLeft w:val="0"/>
      <w:marRight w:val="0"/>
      <w:marTop w:val="0"/>
      <w:marBottom w:val="0"/>
      <w:divBdr>
        <w:top w:val="none" w:sz="0" w:space="0" w:color="auto"/>
        <w:left w:val="none" w:sz="0" w:space="0" w:color="auto"/>
        <w:bottom w:val="none" w:sz="0" w:space="0" w:color="auto"/>
        <w:right w:val="none" w:sz="0" w:space="0" w:color="auto"/>
      </w:divBdr>
    </w:div>
    <w:div w:id="237980109">
      <w:bodyDiv w:val="1"/>
      <w:marLeft w:val="0"/>
      <w:marRight w:val="0"/>
      <w:marTop w:val="0"/>
      <w:marBottom w:val="0"/>
      <w:divBdr>
        <w:top w:val="none" w:sz="0" w:space="0" w:color="auto"/>
        <w:left w:val="none" w:sz="0" w:space="0" w:color="auto"/>
        <w:bottom w:val="none" w:sz="0" w:space="0" w:color="auto"/>
        <w:right w:val="none" w:sz="0" w:space="0" w:color="auto"/>
      </w:divBdr>
    </w:div>
    <w:div w:id="349339105">
      <w:bodyDiv w:val="1"/>
      <w:marLeft w:val="0"/>
      <w:marRight w:val="0"/>
      <w:marTop w:val="0"/>
      <w:marBottom w:val="0"/>
      <w:divBdr>
        <w:top w:val="none" w:sz="0" w:space="0" w:color="auto"/>
        <w:left w:val="none" w:sz="0" w:space="0" w:color="auto"/>
        <w:bottom w:val="none" w:sz="0" w:space="0" w:color="auto"/>
        <w:right w:val="none" w:sz="0" w:space="0" w:color="auto"/>
      </w:divBdr>
    </w:div>
    <w:div w:id="784270030">
      <w:bodyDiv w:val="1"/>
      <w:marLeft w:val="0"/>
      <w:marRight w:val="0"/>
      <w:marTop w:val="0"/>
      <w:marBottom w:val="0"/>
      <w:divBdr>
        <w:top w:val="none" w:sz="0" w:space="0" w:color="auto"/>
        <w:left w:val="none" w:sz="0" w:space="0" w:color="auto"/>
        <w:bottom w:val="none" w:sz="0" w:space="0" w:color="auto"/>
        <w:right w:val="none" w:sz="0" w:space="0" w:color="auto"/>
      </w:divBdr>
      <w:divsChild>
        <w:div w:id="498430389">
          <w:marLeft w:val="0"/>
          <w:marRight w:val="0"/>
          <w:marTop w:val="0"/>
          <w:marBottom w:val="0"/>
          <w:divBdr>
            <w:top w:val="none" w:sz="0" w:space="0" w:color="auto"/>
            <w:left w:val="none" w:sz="0" w:space="0" w:color="auto"/>
            <w:bottom w:val="none" w:sz="0" w:space="0" w:color="auto"/>
            <w:right w:val="none" w:sz="0" w:space="0" w:color="auto"/>
          </w:divBdr>
        </w:div>
        <w:div w:id="1640307932">
          <w:marLeft w:val="0"/>
          <w:marRight w:val="0"/>
          <w:marTop w:val="0"/>
          <w:marBottom w:val="0"/>
          <w:divBdr>
            <w:top w:val="none" w:sz="0" w:space="0" w:color="auto"/>
            <w:left w:val="none" w:sz="0" w:space="0" w:color="auto"/>
            <w:bottom w:val="none" w:sz="0" w:space="0" w:color="auto"/>
            <w:right w:val="none" w:sz="0" w:space="0" w:color="auto"/>
          </w:divBdr>
        </w:div>
      </w:divsChild>
    </w:div>
    <w:div w:id="877350222">
      <w:bodyDiv w:val="1"/>
      <w:marLeft w:val="0"/>
      <w:marRight w:val="0"/>
      <w:marTop w:val="0"/>
      <w:marBottom w:val="0"/>
      <w:divBdr>
        <w:top w:val="none" w:sz="0" w:space="0" w:color="auto"/>
        <w:left w:val="none" w:sz="0" w:space="0" w:color="auto"/>
        <w:bottom w:val="none" w:sz="0" w:space="0" w:color="auto"/>
        <w:right w:val="none" w:sz="0" w:space="0" w:color="auto"/>
      </w:divBdr>
    </w:div>
    <w:div w:id="947278292">
      <w:bodyDiv w:val="1"/>
      <w:marLeft w:val="0"/>
      <w:marRight w:val="0"/>
      <w:marTop w:val="0"/>
      <w:marBottom w:val="0"/>
      <w:divBdr>
        <w:top w:val="none" w:sz="0" w:space="0" w:color="auto"/>
        <w:left w:val="none" w:sz="0" w:space="0" w:color="auto"/>
        <w:bottom w:val="none" w:sz="0" w:space="0" w:color="auto"/>
        <w:right w:val="none" w:sz="0" w:space="0" w:color="auto"/>
      </w:divBdr>
    </w:div>
    <w:div w:id="989477069">
      <w:bodyDiv w:val="1"/>
      <w:marLeft w:val="0"/>
      <w:marRight w:val="0"/>
      <w:marTop w:val="0"/>
      <w:marBottom w:val="0"/>
      <w:divBdr>
        <w:top w:val="none" w:sz="0" w:space="0" w:color="auto"/>
        <w:left w:val="none" w:sz="0" w:space="0" w:color="auto"/>
        <w:bottom w:val="none" w:sz="0" w:space="0" w:color="auto"/>
        <w:right w:val="none" w:sz="0" w:space="0" w:color="auto"/>
      </w:divBdr>
    </w:div>
    <w:div w:id="1039933399">
      <w:bodyDiv w:val="1"/>
      <w:marLeft w:val="0"/>
      <w:marRight w:val="0"/>
      <w:marTop w:val="0"/>
      <w:marBottom w:val="0"/>
      <w:divBdr>
        <w:top w:val="none" w:sz="0" w:space="0" w:color="auto"/>
        <w:left w:val="none" w:sz="0" w:space="0" w:color="auto"/>
        <w:bottom w:val="none" w:sz="0" w:space="0" w:color="auto"/>
        <w:right w:val="none" w:sz="0" w:space="0" w:color="auto"/>
      </w:divBdr>
      <w:divsChild>
        <w:div w:id="144392612">
          <w:marLeft w:val="0"/>
          <w:marRight w:val="0"/>
          <w:marTop w:val="0"/>
          <w:marBottom w:val="0"/>
          <w:divBdr>
            <w:top w:val="none" w:sz="0" w:space="0" w:color="auto"/>
            <w:left w:val="none" w:sz="0" w:space="0" w:color="auto"/>
            <w:bottom w:val="none" w:sz="0" w:space="0" w:color="auto"/>
            <w:right w:val="none" w:sz="0" w:space="0" w:color="auto"/>
          </w:divBdr>
        </w:div>
        <w:div w:id="259069250">
          <w:marLeft w:val="0"/>
          <w:marRight w:val="0"/>
          <w:marTop w:val="0"/>
          <w:marBottom w:val="0"/>
          <w:divBdr>
            <w:top w:val="none" w:sz="0" w:space="0" w:color="auto"/>
            <w:left w:val="none" w:sz="0" w:space="0" w:color="auto"/>
            <w:bottom w:val="none" w:sz="0" w:space="0" w:color="auto"/>
            <w:right w:val="none" w:sz="0" w:space="0" w:color="auto"/>
          </w:divBdr>
        </w:div>
        <w:div w:id="278488492">
          <w:marLeft w:val="0"/>
          <w:marRight w:val="0"/>
          <w:marTop w:val="0"/>
          <w:marBottom w:val="0"/>
          <w:divBdr>
            <w:top w:val="none" w:sz="0" w:space="0" w:color="auto"/>
            <w:left w:val="none" w:sz="0" w:space="0" w:color="auto"/>
            <w:bottom w:val="none" w:sz="0" w:space="0" w:color="auto"/>
            <w:right w:val="none" w:sz="0" w:space="0" w:color="auto"/>
          </w:divBdr>
        </w:div>
        <w:div w:id="1332559688">
          <w:marLeft w:val="0"/>
          <w:marRight w:val="0"/>
          <w:marTop w:val="0"/>
          <w:marBottom w:val="0"/>
          <w:divBdr>
            <w:top w:val="none" w:sz="0" w:space="0" w:color="auto"/>
            <w:left w:val="none" w:sz="0" w:space="0" w:color="auto"/>
            <w:bottom w:val="none" w:sz="0" w:space="0" w:color="auto"/>
            <w:right w:val="none" w:sz="0" w:space="0" w:color="auto"/>
          </w:divBdr>
        </w:div>
        <w:div w:id="1341590127">
          <w:marLeft w:val="0"/>
          <w:marRight w:val="0"/>
          <w:marTop w:val="0"/>
          <w:marBottom w:val="0"/>
          <w:divBdr>
            <w:top w:val="none" w:sz="0" w:space="0" w:color="auto"/>
            <w:left w:val="none" w:sz="0" w:space="0" w:color="auto"/>
            <w:bottom w:val="none" w:sz="0" w:space="0" w:color="auto"/>
            <w:right w:val="none" w:sz="0" w:space="0" w:color="auto"/>
          </w:divBdr>
        </w:div>
      </w:divsChild>
    </w:div>
    <w:div w:id="1196579607">
      <w:bodyDiv w:val="1"/>
      <w:marLeft w:val="0"/>
      <w:marRight w:val="0"/>
      <w:marTop w:val="0"/>
      <w:marBottom w:val="0"/>
      <w:divBdr>
        <w:top w:val="none" w:sz="0" w:space="0" w:color="auto"/>
        <w:left w:val="none" w:sz="0" w:space="0" w:color="auto"/>
        <w:bottom w:val="none" w:sz="0" w:space="0" w:color="auto"/>
        <w:right w:val="none" w:sz="0" w:space="0" w:color="auto"/>
      </w:divBdr>
    </w:div>
    <w:div w:id="1212420790">
      <w:bodyDiv w:val="1"/>
      <w:marLeft w:val="0"/>
      <w:marRight w:val="0"/>
      <w:marTop w:val="0"/>
      <w:marBottom w:val="0"/>
      <w:divBdr>
        <w:top w:val="none" w:sz="0" w:space="0" w:color="auto"/>
        <w:left w:val="none" w:sz="0" w:space="0" w:color="auto"/>
        <w:bottom w:val="none" w:sz="0" w:space="0" w:color="auto"/>
        <w:right w:val="none" w:sz="0" w:space="0" w:color="auto"/>
      </w:divBdr>
    </w:div>
    <w:div w:id="1305352438">
      <w:bodyDiv w:val="1"/>
      <w:marLeft w:val="0"/>
      <w:marRight w:val="0"/>
      <w:marTop w:val="0"/>
      <w:marBottom w:val="0"/>
      <w:divBdr>
        <w:top w:val="none" w:sz="0" w:space="0" w:color="auto"/>
        <w:left w:val="none" w:sz="0" w:space="0" w:color="auto"/>
        <w:bottom w:val="none" w:sz="0" w:space="0" w:color="auto"/>
        <w:right w:val="none" w:sz="0" w:space="0" w:color="auto"/>
      </w:divBdr>
    </w:div>
    <w:div w:id="1610241013">
      <w:bodyDiv w:val="1"/>
      <w:marLeft w:val="0"/>
      <w:marRight w:val="0"/>
      <w:marTop w:val="0"/>
      <w:marBottom w:val="0"/>
      <w:divBdr>
        <w:top w:val="none" w:sz="0" w:space="0" w:color="auto"/>
        <w:left w:val="none" w:sz="0" w:space="0" w:color="auto"/>
        <w:bottom w:val="none" w:sz="0" w:space="0" w:color="auto"/>
        <w:right w:val="none" w:sz="0" w:space="0" w:color="auto"/>
      </w:divBdr>
    </w:div>
    <w:div w:id="1673676536">
      <w:bodyDiv w:val="1"/>
      <w:marLeft w:val="0"/>
      <w:marRight w:val="0"/>
      <w:marTop w:val="0"/>
      <w:marBottom w:val="0"/>
      <w:divBdr>
        <w:top w:val="none" w:sz="0" w:space="0" w:color="auto"/>
        <w:left w:val="none" w:sz="0" w:space="0" w:color="auto"/>
        <w:bottom w:val="none" w:sz="0" w:space="0" w:color="auto"/>
        <w:right w:val="none" w:sz="0" w:space="0" w:color="auto"/>
      </w:divBdr>
      <w:divsChild>
        <w:div w:id="1838034996">
          <w:marLeft w:val="0"/>
          <w:marRight w:val="0"/>
          <w:marTop w:val="0"/>
          <w:marBottom w:val="0"/>
          <w:divBdr>
            <w:top w:val="none" w:sz="0" w:space="0" w:color="auto"/>
            <w:left w:val="none" w:sz="0" w:space="0" w:color="auto"/>
            <w:bottom w:val="none" w:sz="0" w:space="0" w:color="auto"/>
            <w:right w:val="none" w:sz="0" w:space="0" w:color="auto"/>
          </w:divBdr>
        </w:div>
      </w:divsChild>
    </w:div>
    <w:div w:id="1727407896">
      <w:bodyDiv w:val="1"/>
      <w:marLeft w:val="0"/>
      <w:marRight w:val="0"/>
      <w:marTop w:val="0"/>
      <w:marBottom w:val="0"/>
      <w:divBdr>
        <w:top w:val="none" w:sz="0" w:space="0" w:color="auto"/>
        <w:left w:val="none" w:sz="0" w:space="0" w:color="auto"/>
        <w:bottom w:val="none" w:sz="0" w:space="0" w:color="auto"/>
        <w:right w:val="none" w:sz="0" w:space="0" w:color="auto"/>
      </w:divBdr>
    </w:div>
    <w:div w:id="1773476429">
      <w:bodyDiv w:val="1"/>
      <w:marLeft w:val="0"/>
      <w:marRight w:val="0"/>
      <w:marTop w:val="0"/>
      <w:marBottom w:val="0"/>
      <w:divBdr>
        <w:top w:val="none" w:sz="0" w:space="0" w:color="auto"/>
        <w:left w:val="none" w:sz="0" w:space="0" w:color="auto"/>
        <w:bottom w:val="none" w:sz="0" w:space="0" w:color="auto"/>
        <w:right w:val="none" w:sz="0" w:space="0" w:color="auto"/>
      </w:divBdr>
    </w:div>
    <w:div w:id="1960531645">
      <w:bodyDiv w:val="1"/>
      <w:marLeft w:val="0"/>
      <w:marRight w:val="0"/>
      <w:marTop w:val="0"/>
      <w:marBottom w:val="0"/>
      <w:divBdr>
        <w:top w:val="none" w:sz="0" w:space="0" w:color="auto"/>
        <w:left w:val="none" w:sz="0" w:space="0" w:color="auto"/>
        <w:bottom w:val="none" w:sz="0" w:space="0" w:color="auto"/>
        <w:right w:val="none" w:sz="0" w:space="0" w:color="auto"/>
      </w:divBdr>
    </w:div>
    <w:div w:id="1981955812">
      <w:bodyDiv w:val="1"/>
      <w:marLeft w:val="0"/>
      <w:marRight w:val="0"/>
      <w:marTop w:val="0"/>
      <w:marBottom w:val="0"/>
      <w:divBdr>
        <w:top w:val="none" w:sz="0" w:space="0" w:color="auto"/>
        <w:left w:val="none" w:sz="0" w:space="0" w:color="auto"/>
        <w:bottom w:val="none" w:sz="0" w:space="0" w:color="auto"/>
        <w:right w:val="none" w:sz="0" w:space="0" w:color="auto"/>
      </w:divBdr>
    </w:div>
    <w:div w:id="2041852629">
      <w:bodyDiv w:val="1"/>
      <w:marLeft w:val="0"/>
      <w:marRight w:val="0"/>
      <w:marTop w:val="0"/>
      <w:marBottom w:val="0"/>
      <w:divBdr>
        <w:top w:val="none" w:sz="0" w:space="0" w:color="auto"/>
        <w:left w:val="none" w:sz="0" w:space="0" w:color="auto"/>
        <w:bottom w:val="none" w:sz="0" w:space="0" w:color="auto"/>
        <w:right w:val="none" w:sz="0" w:space="0" w:color="auto"/>
      </w:divBdr>
    </w:div>
    <w:div w:id="2109693795">
      <w:bodyDiv w:val="1"/>
      <w:marLeft w:val="0"/>
      <w:marRight w:val="0"/>
      <w:marTop w:val="0"/>
      <w:marBottom w:val="0"/>
      <w:divBdr>
        <w:top w:val="none" w:sz="0" w:space="0" w:color="auto"/>
        <w:left w:val="none" w:sz="0" w:space="0" w:color="auto"/>
        <w:bottom w:val="none" w:sz="0" w:space="0" w:color="auto"/>
        <w:right w:val="none" w:sz="0" w:space="0" w:color="auto"/>
      </w:divBdr>
    </w:div>
    <w:div w:id="2140950585">
      <w:bodyDiv w:val="1"/>
      <w:marLeft w:val="0"/>
      <w:marRight w:val="0"/>
      <w:marTop w:val="0"/>
      <w:marBottom w:val="0"/>
      <w:divBdr>
        <w:top w:val="none" w:sz="0" w:space="0" w:color="auto"/>
        <w:left w:val="none" w:sz="0" w:space="0" w:color="auto"/>
        <w:bottom w:val="none" w:sz="0" w:space="0" w:color="auto"/>
        <w:right w:val="none" w:sz="0" w:space="0" w:color="auto"/>
      </w:divBdr>
      <w:divsChild>
        <w:div w:id="57123979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fiore@cnr.it" TargetMode="External"/><Relationship Id="rId13" Type="http://schemas.openxmlformats.org/officeDocument/2006/relationships/image" Target="media/image1.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ti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tiff"/></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ma.net/policies-post/wma-declaration-of-helsinki-ethical-principles-for-medical-research-involving-human-subje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ma.net/policies-post/wma-declaration-of-helsinki-ethical-principles-for-medical-research-involving-human-subjects/" TargetMode="External"/><Relationship Id="rId5" Type="http://schemas.openxmlformats.org/officeDocument/2006/relationships/hyperlink" Target="https://www.wma.net/policies-post/wma-declaration-of-helsinki-ethical-principles-for-medical-research-involving-human-subjects/"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56967E6B8546F19A067AA5DD798E72"/>
        <w:category>
          <w:name w:val="General"/>
          <w:gallery w:val="placeholder"/>
        </w:category>
        <w:types>
          <w:type w:val="bbPlcHdr"/>
        </w:types>
        <w:behaviors>
          <w:behavior w:val="content"/>
        </w:behaviors>
        <w:guid w:val="{5B90611D-AA7F-49AE-8227-6E360CDB9777}"/>
      </w:docPartPr>
      <w:docPartBody>
        <w:p w:rsidR="008106CE" w:rsidRDefault="002A0EA2" w:rsidP="002A0EA2">
          <w:pPr>
            <w:pStyle w:val="4656967E6B8546F19A067AA5DD798E7248"/>
          </w:pPr>
          <w:r w:rsidRPr="00D704B4">
            <w:rPr>
              <w:bCs/>
              <w:color w:val="808080"/>
              <w:szCs w:val="28"/>
            </w:rPr>
            <w:t>(Research Article Title should be Precise and Brief and Must Not be More Than 120 Characters. It may Include Important Keywords Used within the Article. Authors should avoid the Use of Non-Standard Abbreviations. The Title Must be Written in Title Case Except for Articles, Conjunctions and Prepositions)</w:t>
          </w:r>
        </w:p>
      </w:docPartBody>
    </w:docPart>
    <w:docPart>
      <w:docPartPr>
        <w:name w:val="AB23BFB36EF841F38515A6CC7671FEA5"/>
        <w:category>
          <w:name w:val="General"/>
          <w:gallery w:val="placeholder"/>
        </w:category>
        <w:types>
          <w:type w:val="bbPlcHdr"/>
        </w:types>
        <w:behaviors>
          <w:behavior w:val="content"/>
        </w:behaviors>
        <w:guid w:val="{F12F3009-975B-4DBB-87F7-EBA4EFA14F7F}"/>
      </w:docPartPr>
      <w:docPartBody>
        <w:p w:rsidR="008106CE" w:rsidRDefault="002A0EA2" w:rsidP="002A0EA2">
          <w:pPr>
            <w:pStyle w:val="AB23BFB36EF841F38515A6CC7671FEA546"/>
          </w:pPr>
          <w:r w:rsidRPr="00D704B4">
            <w:rPr>
              <w:color w:val="808080"/>
            </w:rPr>
            <w:t>Principle Author</w:t>
          </w:r>
          <w:r>
            <w:rPr>
              <w:color w:val="808080"/>
            </w:rPr>
            <w:t xml:space="preserve"> Name</w:t>
          </w:r>
          <w:r w:rsidRPr="00D704B4">
            <w:rPr>
              <w:color w:val="808080"/>
              <w:vertAlign w:val="superscript"/>
            </w:rPr>
            <w:t>1</w:t>
          </w:r>
          <w:r w:rsidRPr="00D704B4">
            <w:rPr>
              <w:color w:val="808080"/>
            </w:rPr>
            <w:t>, Corresponding author</w:t>
          </w:r>
          <w:r>
            <w:rPr>
              <w:color w:val="808080"/>
            </w:rPr>
            <w:t xml:space="preserve"> Name</w:t>
          </w:r>
          <w:r w:rsidRPr="00D704B4">
            <w:rPr>
              <w:color w:val="808080"/>
              <w:vertAlign w:val="superscript"/>
            </w:rPr>
            <w:t>*2</w:t>
          </w:r>
          <w:r w:rsidRPr="00D704B4">
            <w:rPr>
              <w:color w:val="808080"/>
            </w:rPr>
            <w:t xml:space="preserve">, </w:t>
          </w:r>
          <w:r w:rsidRPr="00D704B4">
            <w:rPr>
              <w:color w:val="808080"/>
              <w:kern w:val="2"/>
            </w:rPr>
            <w:t>Co-author, Co-author</w:t>
          </w:r>
          <w:r w:rsidRPr="00D704B4">
            <w:rPr>
              <w:color w:val="808080"/>
              <w:kern w:val="2"/>
              <w:vertAlign w:val="superscript"/>
            </w:rPr>
            <w:t>1</w:t>
          </w:r>
          <w:r w:rsidRPr="00D704B4">
            <w:rPr>
              <w:color w:val="808080"/>
              <w:kern w:val="2"/>
            </w:rPr>
            <w:t xml:space="preserve"> and Co-author</w:t>
          </w:r>
          <w:r w:rsidRPr="00D704B4">
            <w:rPr>
              <w:color w:val="808080"/>
              <w:kern w:val="2"/>
              <w:vertAlign w:val="superscript"/>
            </w:rPr>
            <w:t>1,2</w:t>
          </w:r>
        </w:p>
      </w:docPartBody>
    </w:docPart>
    <w:docPart>
      <w:docPartPr>
        <w:name w:val="F316156A1D4C4DA8BCA9CD1D3C2965A1"/>
        <w:category>
          <w:name w:val="General"/>
          <w:gallery w:val="placeholder"/>
        </w:category>
        <w:types>
          <w:type w:val="bbPlcHdr"/>
        </w:types>
        <w:behaviors>
          <w:behavior w:val="content"/>
        </w:behaviors>
        <w:guid w:val="{C4F41DDA-0F10-40F3-9887-B45AF1B4BD4A}"/>
      </w:docPartPr>
      <w:docPartBody>
        <w:p w:rsidR="002A0EA2" w:rsidRPr="00786943" w:rsidRDefault="002A0EA2" w:rsidP="00C33410">
          <w:pPr>
            <w:pStyle w:val="NormaleWeb"/>
            <w:shd w:val="clear" w:color="auto" w:fill="FFFFFF"/>
            <w:spacing w:before="0" w:after="60"/>
            <w:ind w:left="130" w:right="567"/>
            <w:jc w:val="both"/>
            <w:rPr>
              <w:color w:val="333333"/>
              <w:sz w:val="18"/>
              <w:szCs w:val="18"/>
              <w:lang w:val="en-US" w:eastAsia="en-US"/>
            </w:rPr>
          </w:pPr>
          <w:r w:rsidRPr="00786943">
            <w:rPr>
              <w:b/>
              <w:sz w:val="18"/>
              <w:szCs w:val="18"/>
            </w:rPr>
            <w:t>Abstract:</w:t>
          </w:r>
          <w:r w:rsidRPr="00786943">
            <w:rPr>
              <w:sz w:val="18"/>
              <w:szCs w:val="18"/>
            </w:rPr>
            <w:t xml:space="preserve"> </w:t>
          </w:r>
          <w:r w:rsidRPr="00786943">
            <w:rPr>
              <w:color w:val="333333"/>
              <w:sz w:val="18"/>
              <w:szCs w:val="18"/>
              <w:lang w:val="en-US" w:eastAsia="en-US"/>
            </w:rPr>
            <w:t>The abstract of an article should be its clear, concise and accurate summary, having no more than 250 words, and including the explicit sub-headings (as in-line or run-in headings in bold). Use of abbreviations should be avoided and the references should not be cited in the abstract.</w:t>
          </w:r>
        </w:p>
        <w:p w:rsidR="002A0EA2" w:rsidRPr="00786943" w:rsidRDefault="002A0EA2" w:rsidP="00C33410">
          <w:pPr>
            <w:shd w:val="clear" w:color="auto" w:fill="FFFFFF"/>
            <w:ind w:left="130" w:right="567"/>
            <w:jc w:val="both"/>
            <w:rPr>
              <w:color w:val="333333"/>
              <w:sz w:val="18"/>
              <w:szCs w:val="18"/>
            </w:rPr>
          </w:pPr>
          <w:r w:rsidRPr="00786943">
            <w:rPr>
              <w:color w:val="333333"/>
              <w:sz w:val="18"/>
              <w:szCs w:val="18"/>
            </w:rPr>
            <w:t>All the original research articles, systematic reviews and meta analyses must be accompanied with a structured abstract. Ideally, each abstract should include the following sub-headings, but these may vary according to requirements of the article.</w:t>
          </w:r>
        </w:p>
        <w:p w:rsidR="002A0EA2" w:rsidRPr="00786943" w:rsidRDefault="002A0EA2" w:rsidP="002A0EA2">
          <w:pPr>
            <w:numPr>
              <w:ilvl w:val="0"/>
              <w:numId w:val="1"/>
            </w:numPr>
            <w:shd w:val="clear" w:color="auto" w:fill="FFFFFF"/>
            <w:tabs>
              <w:tab w:val="clear" w:pos="720"/>
              <w:tab w:val="num" w:pos="389"/>
            </w:tabs>
            <w:spacing w:after="60" w:line="240" w:lineRule="auto"/>
            <w:ind w:left="130" w:right="567" w:firstLine="0"/>
            <w:jc w:val="both"/>
            <w:rPr>
              <w:color w:val="333333"/>
              <w:sz w:val="18"/>
              <w:szCs w:val="18"/>
            </w:rPr>
          </w:pPr>
          <w:r w:rsidRPr="00786943">
            <w:rPr>
              <w:color w:val="333333"/>
              <w:sz w:val="18"/>
              <w:szCs w:val="18"/>
            </w:rPr>
            <w:t>Background</w:t>
          </w:r>
        </w:p>
        <w:p w:rsidR="002A0EA2" w:rsidRPr="00786943" w:rsidRDefault="002A0EA2" w:rsidP="002A0EA2">
          <w:pPr>
            <w:numPr>
              <w:ilvl w:val="0"/>
              <w:numId w:val="1"/>
            </w:numPr>
            <w:shd w:val="clear" w:color="auto" w:fill="FFFFFF"/>
            <w:tabs>
              <w:tab w:val="clear" w:pos="720"/>
              <w:tab w:val="num" w:pos="389"/>
            </w:tabs>
            <w:spacing w:after="60" w:line="240" w:lineRule="auto"/>
            <w:ind w:left="130" w:right="567" w:firstLine="0"/>
            <w:jc w:val="both"/>
            <w:rPr>
              <w:color w:val="333333"/>
              <w:sz w:val="18"/>
              <w:szCs w:val="18"/>
            </w:rPr>
          </w:pPr>
          <w:r w:rsidRPr="00786943">
            <w:rPr>
              <w:color w:val="333333"/>
              <w:sz w:val="18"/>
              <w:szCs w:val="18"/>
            </w:rPr>
            <w:t>Objective</w:t>
          </w:r>
        </w:p>
        <w:p w:rsidR="002A0EA2" w:rsidRPr="00786943" w:rsidRDefault="002A0EA2" w:rsidP="002A0EA2">
          <w:pPr>
            <w:numPr>
              <w:ilvl w:val="0"/>
              <w:numId w:val="1"/>
            </w:numPr>
            <w:shd w:val="clear" w:color="auto" w:fill="FFFFFF"/>
            <w:tabs>
              <w:tab w:val="clear" w:pos="720"/>
              <w:tab w:val="num" w:pos="389"/>
            </w:tabs>
            <w:spacing w:after="60" w:line="240" w:lineRule="auto"/>
            <w:ind w:left="130" w:right="567" w:firstLine="0"/>
            <w:jc w:val="both"/>
            <w:rPr>
              <w:color w:val="333333"/>
              <w:sz w:val="18"/>
              <w:szCs w:val="18"/>
            </w:rPr>
          </w:pPr>
          <w:r w:rsidRPr="00786943">
            <w:rPr>
              <w:color w:val="333333"/>
              <w:sz w:val="18"/>
              <w:szCs w:val="18"/>
            </w:rPr>
            <w:t>Methods</w:t>
          </w:r>
        </w:p>
        <w:p w:rsidR="002A0EA2" w:rsidRPr="00786943" w:rsidRDefault="002A0EA2" w:rsidP="002A0EA2">
          <w:pPr>
            <w:numPr>
              <w:ilvl w:val="0"/>
              <w:numId w:val="1"/>
            </w:numPr>
            <w:shd w:val="clear" w:color="auto" w:fill="FFFFFF"/>
            <w:tabs>
              <w:tab w:val="clear" w:pos="720"/>
              <w:tab w:val="num" w:pos="389"/>
            </w:tabs>
            <w:spacing w:after="60" w:line="240" w:lineRule="auto"/>
            <w:ind w:left="130" w:right="567" w:firstLine="0"/>
            <w:jc w:val="both"/>
            <w:rPr>
              <w:color w:val="333333"/>
              <w:sz w:val="18"/>
              <w:szCs w:val="18"/>
            </w:rPr>
          </w:pPr>
          <w:r w:rsidRPr="00786943">
            <w:rPr>
              <w:color w:val="333333"/>
              <w:sz w:val="18"/>
              <w:szCs w:val="18"/>
            </w:rPr>
            <w:t>Results</w:t>
          </w:r>
        </w:p>
        <w:p w:rsidR="002A0EA2" w:rsidRPr="00786943" w:rsidRDefault="002A0EA2" w:rsidP="002A0EA2">
          <w:pPr>
            <w:numPr>
              <w:ilvl w:val="0"/>
              <w:numId w:val="1"/>
            </w:numPr>
            <w:shd w:val="clear" w:color="auto" w:fill="FFFFFF"/>
            <w:tabs>
              <w:tab w:val="clear" w:pos="720"/>
              <w:tab w:val="num" w:pos="389"/>
            </w:tabs>
            <w:spacing w:after="60" w:line="240" w:lineRule="auto"/>
            <w:ind w:left="130" w:right="567" w:firstLine="0"/>
            <w:jc w:val="both"/>
            <w:rPr>
              <w:color w:val="333333"/>
              <w:sz w:val="18"/>
              <w:szCs w:val="18"/>
            </w:rPr>
          </w:pPr>
          <w:r w:rsidRPr="00786943">
            <w:rPr>
              <w:color w:val="333333"/>
              <w:sz w:val="18"/>
              <w:szCs w:val="18"/>
            </w:rPr>
            <w:t>Conclusion</w:t>
          </w:r>
        </w:p>
        <w:p w:rsidR="008106CE" w:rsidRDefault="002A0EA2" w:rsidP="002A0EA2">
          <w:pPr>
            <w:pStyle w:val="F316156A1D4C4DA8BCA9CD1D3C2965A142"/>
          </w:pPr>
          <w:r w:rsidRPr="00786943">
            <w:rPr>
              <w:color w:val="333333"/>
              <w:sz w:val="18"/>
              <w:szCs w:val="18"/>
              <w:lang w:eastAsia="en-US"/>
            </w:rPr>
            <w:t>The headings can vary, but must state the purpose of the study, details of the participants, measurements, methods, main findings and conclusion.</w:t>
          </w:r>
        </w:p>
      </w:docPartBody>
    </w:docPart>
    <w:docPart>
      <w:docPartPr>
        <w:name w:val="85C2668CDC384307B038AC8EC2388103"/>
        <w:category>
          <w:name w:val="General"/>
          <w:gallery w:val="placeholder"/>
        </w:category>
        <w:types>
          <w:type w:val="bbPlcHdr"/>
        </w:types>
        <w:behaviors>
          <w:behavior w:val="content"/>
        </w:behaviors>
        <w:guid w:val="{2E0322B5-9F4A-4CAB-8CBB-7D3968A55B57}"/>
      </w:docPartPr>
      <w:docPartBody>
        <w:p w:rsidR="008106CE" w:rsidRDefault="002A0EA2" w:rsidP="002A0EA2">
          <w:pPr>
            <w:pStyle w:val="85C2668CDC384307B038AC8EC238810341"/>
          </w:pPr>
          <w:r w:rsidRPr="00D704B4">
            <w:rPr>
              <w:color w:val="333333"/>
              <w:sz w:val="21"/>
              <w:szCs w:val="21"/>
              <w:shd w:val="clear" w:color="auto" w:fill="FFFFFF"/>
            </w:rPr>
            <w:t xml:space="preserve">6 </w:t>
          </w:r>
          <w:r>
            <w:rPr>
              <w:color w:val="333333"/>
              <w:sz w:val="21"/>
              <w:szCs w:val="21"/>
              <w:shd w:val="clear" w:color="auto" w:fill="FFFFFF"/>
            </w:rPr>
            <w:t>to 8 keywords must be provided.</w:t>
          </w:r>
        </w:p>
      </w:docPartBody>
    </w:docPart>
    <w:docPart>
      <w:docPartPr>
        <w:name w:val="6A576D02B1884649B7A859755E1583CA"/>
        <w:category>
          <w:name w:val="General"/>
          <w:gallery w:val="placeholder"/>
        </w:category>
        <w:types>
          <w:type w:val="bbPlcHdr"/>
        </w:types>
        <w:behaviors>
          <w:behavior w:val="content"/>
        </w:behaviors>
        <w:guid w:val="{BDCCB033-AF70-4210-ABCB-A6D221C569AC}"/>
      </w:docPartPr>
      <w:docPartBody>
        <w:p w:rsidR="008106CE" w:rsidRDefault="002A0EA2" w:rsidP="002A0EA2">
          <w:pPr>
            <w:pStyle w:val="6A576D02B1884649B7A859755E1583CA31"/>
          </w:pPr>
          <w:r w:rsidRPr="00A73289">
            <w:rPr>
              <w:color w:val="A6A6A6"/>
              <w:sz w:val="21"/>
              <w:szCs w:val="21"/>
              <w:lang w:eastAsia="en-US"/>
            </w:rPr>
            <w:t xml:space="preserve">It is important for the Method Section should be sufficiently detailed in respect of the data presented, and the results produced from it. This section should include all the </w:t>
          </w:r>
          <w:r w:rsidRPr="00786943">
            <w:rPr>
              <w:color w:val="808080"/>
            </w:rPr>
            <w:t>information</w:t>
          </w:r>
          <w:r w:rsidRPr="00A73289">
            <w:rPr>
              <w:color w:val="A6A6A6"/>
              <w:sz w:val="21"/>
              <w:szCs w:val="21"/>
              <w:lang w:eastAsia="en-US"/>
            </w:rPr>
            <w:t xml:space="preserve"> and protocol gathered for the study at the time when it was being written. If the study is funded or financially supported by an organization to conduct the research, then it should be mentioned in the Method Section. Methods must be result-oriented. The statement</w:t>
          </w:r>
          <w:r>
            <w:rPr>
              <w:color w:val="A6A6A6"/>
              <w:sz w:val="21"/>
              <w:szCs w:val="21"/>
              <w:lang w:eastAsia="en-US"/>
            </w:rPr>
            <w:t xml:space="preserve"> </w:t>
          </w:r>
          <w:r w:rsidRPr="00A73289">
            <w:rPr>
              <w:color w:val="A6A6A6"/>
              <w:sz w:val="21"/>
              <w:szCs w:val="21"/>
              <w:lang w:eastAsia="en-US"/>
            </w:rPr>
            <w:t>regarding the approval by an independent local, regional or national review committee (e.g. name of ethic committee and institutional review board) should be part of the Methods Section.</w:t>
          </w:r>
        </w:p>
      </w:docPartBody>
    </w:docPart>
    <w:docPart>
      <w:docPartPr>
        <w:name w:val="AFA1F6A560C44B56905B8A899E5F0863"/>
        <w:category>
          <w:name w:val="General"/>
          <w:gallery w:val="placeholder"/>
        </w:category>
        <w:types>
          <w:type w:val="bbPlcHdr"/>
        </w:types>
        <w:behaviors>
          <w:behavior w:val="content"/>
        </w:behaviors>
        <w:guid w:val="{956D69D1-4E4F-42E1-AF6E-F9EAF409CD5E}"/>
      </w:docPartPr>
      <w:docPartBody>
        <w:p w:rsidR="008106CE" w:rsidRDefault="002A0EA2" w:rsidP="002A0EA2">
          <w:pPr>
            <w:pStyle w:val="AFA1F6A560C44B56905B8A899E5F086328"/>
          </w:pPr>
          <w:r w:rsidRPr="00A73289">
            <w:rPr>
              <w:color w:val="A6A6A6"/>
              <w:sz w:val="21"/>
              <w:szCs w:val="21"/>
              <w:lang w:eastAsia="en-US"/>
            </w:rPr>
            <w:t>The important and main findings of the study should come first in the Results Section. The tables, figures and references should be given in sequence to emphasize the important information or observations related to the research. The repetition of data in tables and figures should be avoided. Results should be precise.</w:t>
          </w:r>
        </w:p>
      </w:docPartBody>
    </w:docPart>
    <w:docPart>
      <w:docPartPr>
        <w:name w:val="C4039AFDECBD4B6CB1079F3B47B73718"/>
        <w:category>
          <w:name w:val="General"/>
          <w:gallery w:val="placeholder"/>
        </w:category>
        <w:types>
          <w:type w:val="bbPlcHdr"/>
        </w:types>
        <w:behaviors>
          <w:behavior w:val="content"/>
        </w:behaviors>
        <w:guid w:val="{3A1F10C0-98AD-41A5-9003-0705E141E118}"/>
      </w:docPartPr>
      <w:docPartBody>
        <w:p w:rsidR="008106CE" w:rsidRDefault="002A0EA2" w:rsidP="002A0EA2">
          <w:pPr>
            <w:pStyle w:val="C4039AFDECBD4B6CB1079F3B47B7371825"/>
          </w:pPr>
          <w:r w:rsidRPr="001D430A">
            <w:rPr>
              <w:color w:val="A6A6A6"/>
              <w:sz w:val="18"/>
              <w:szCs w:val="18"/>
            </w:rPr>
            <w:t xml:space="preserve">This is a figure. </w:t>
          </w:r>
          <w:r w:rsidRPr="001D430A">
            <w:rPr>
              <w:color w:val="A6A6A6"/>
              <w:sz w:val="18"/>
              <w:szCs w:val="18"/>
              <w:lang w:eastAsia="en-US"/>
            </w:rPr>
            <w:t>Each figure should include only a single illustration which should be cropped to minimize the amount of space occupied by the illustration.</w:t>
          </w:r>
        </w:p>
      </w:docPartBody>
    </w:docPart>
    <w:docPart>
      <w:docPartPr>
        <w:name w:val="BD5101FE76414B2C89366B8CC9FB97FD"/>
        <w:category>
          <w:name w:val="General"/>
          <w:gallery w:val="placeholder"/>
        </w:category>
        <w:types>
          <w:type w:val="bbPlcHdr"/>
        </w:types>
        <w:behaviors>
          <w:behavior w:val="content"/>
        </w:behaviors>
        <w:guid w:val="{3864AD2B-9851-4BD5-AF9F-49EEE501BF2A}"/>
      </w:docPartPr>
      <w:docPartBody>
        <w:p w:rsidR="008106CE" w:rsidRDefault="002A0EA2" w:rsidP="002A0EA2">
          <w:pPr>
            <w:pStyle w:val="BD5101FE76414B2C89366B8CC9FB97FD22"/>
          </w:pPr>
          <w:r w:rsidRPr="001D430A">
            <w:rPr>
              <w:color w:val="A6A6A6"/>
              <w:sz w:val="18"/>
              <w:szCs w:val="18"/>
              <w:lang w:eastAsia="en-US"/>
            </w:rPr>
            <w:t>If a figure is in separate parts, all parts of the figure must be provided in a single composite illustration file.</w:t>
          </w:r>
        </w:p>
      </w:docPartBody>
    </w:docPart>
    <w:docPart>
      <w:docPartPr>
        <w:name w:val="2FD84F6C63AC4730BBDF8285F73B340B"/>
        <w:category>
          <w:name w:val="General"/>
          <w:gallery w:val="placeholder"/>
        </w:category>
        <w:types>
          <w:type w:val="bbPlcHdr"/>
        </w:types>
        <w:behaviors>
          <w:behavior w:val="content"/>
        </w:behaviors>
        <w:guid w:val="{E0536A3E-DDE0-4406-9691-10FE68F8F678}"/>
      </w:docPartPr>
      <w:docPartBody>
        <w:p w:rsidR="008106CE" w:rsidRDefault="002A0EA2" w:rsidP="002A0EA2">
          <w:pPr>
            <w:pStyle w:val="2FD84F6C63AC4730BBDF8285F73B340B7"/>
          </w:pPr>
          <w:r w:rsidRPr="00CA60EF">
            <w:rPr>
              <w:color w:val="A6A6A6"/>
              <w:lang w:eastAsia="en-US"/>
            </w:rPr>
            <w:t>This should explore the significance of the results of the work, present a reproducible procedure and emphasis the importance of the article in the light of recent developments in the field. Extensive citations and discussion of published literature should be avoided.</w:t>
          </w:r>
        </w:p>
      </w:docPartBody>
    </w:docPart>
    <w:docPart>
      <w:docPartPr>
        <w:name w:val="019157AFF52341DE87803E234BC4BA9B"/>
        <w:category>
          <w:name w:val="General"/>
          <w:gallery w:val="placeholder"/>
        </w:category>
        <w:types>
          <w:type w:val="bbPlcHdr"/>
        </w:types>
        <w:behaviors>
          <w:behavior w:val="content"/>
        </w:behaviors>
        <w:guid w:val="{EAB50F48-3D7A-4B55-BBCA-DA9B1C10FCF4}"/>
      </w:docPartPr>
      <w:docPartBody>
        <w:p w:rsidR="008106CE" w:rsidRDefault="002A0EA2" w:rsidP="002A0EA2">
          <w:pPr>
            <w:pStyle w:val="019157AFF52341DE87803E234BC4BA9B7"/>
          </w:pPr>
          <w:r w:rsidRPr="00CA60EF">
            <w:rPr>
              <w:color w:val="A6A6A6"/>
            </w:rPr>
            <w:t xml:space="preserve">Authors should clearly state the name of the approval </w:t>
          </w:r>
          <w:r w:rsidRPr="00CA60EF">
            <w:rPr>
              <w:color w:val="A6A6A6"/>
              <w:lang w:eastAsia="en-US"/>
            </w:rPr>
            <w:t>committee</w:t>
          </w:r>
          <w:r w:rsidRPr="00CA60EF">
            <w:rPr>
              <w:color w:val="A6A6A6"/>
            </w:rPr>
            <w:t>, highlighting that legal and ethical approvals were obtained prior to initiation of the research work carried out on animals, and that the experiments were performed in accordance with the relevant guidelines and regulations.</w:t>
          </w:r>
        </w:p>
      </w:docPartBody>
    </w:docPart>
    <w:docPart>
      <w:docPartPr>
        <w:name w:val="743643C9A7FC48B382F5FC2A64531DDC"/>
        <w:category>
          <w:name w:val="General"/>
          <w:gallery w:val="placeholder"/>
        </w:category>
        <w:types>
          <w:type w:val="bbPlcHdr"/>
        </w:types>
        <w:behaviors>
          <w:behavior w:val="content"/>
        </w:behaviors>
        <w:guid w:val="{C2F849F8-9006-45F7-8C35-D1942CE50318}"/>
      </w:docPartPr>
      <w:docPartBody>
        <w:p w:rsidR="008106CE" w:rsidRDefault="002A0EA2" w:rsidP="002A0EA2">
          <w:pPr>
            <w:pStyle w:val="743643C9A7FC48B382F5FC2A64531DDC6"/>
          </w:pPr>
          <w:r w:rsidRPr="00CA60EF">
            <w:rPr>
              <w:color w:val="A6A6A6"/>
            </w:rPr>
            <w:t>All clinical investigations should be conducted according to the </w:t>
          </w:r>
          <w:hyperlink r:id="rId5" w:tgtFrame="xrefwindow" w:history="1">
            <w:r w:rsidRPr="00CA60EF">
              <w:rPr>
                <w:rStyle w:val="Collegamentoipertestuale"/>
                <w:b/>
                <w:bCs/>
                <w:color w:val="A6A6A6"/>
              </w:rPr>
              <w:t>Declaration of Helsinki</w:t>
            </w:r>
          </w:hyperlink>
          <w:r w:rsidRPr="00CA60EF">
            <w:rPr>
              <w:color w:val="A6A6A6"/>
            </w:rPr>
            <w:t> principles.</w:t>
          </w:r>
        </w:p>
      </w:docPartBody>
    </w:docPart>
    <w:docPart>
      <w:docPartPr>
        <w:name w:val="361E3E4BC08F433697E76F61121E56E3"/>
        <w:category>
          <w:name w:val="General"/>
          <w:gallery w:val="placeholder"/>
        </w:category>
        <w:types>
          <w:type w:val="bbPlcHdr"/>
        </w:types>
        <w:behaviors>
          <w:behavior w:val="content"/>
        </w:behaviors>
        <w:guid w:val="{7BBE61F5-3568-4B9B-9EFC-8D9837E712DE}"/>
      </w:docPartPr>
      <w:docPartBody>
        <w:p w:rsidR="008106CE" w:rsidRDefault="002A0EA2" w:rsidP="002A0EA2">
          <w:pPr>
            <w:pStyle w:val="361E3E4BC08F433697E76F61121E56E36"/>
          </w:pPr>
          <w:r w:rsidRPr="00CA60EF">
            <w:rPr>
              <w:color w:val="A6A6A6"/>
            </w:rPr>
            <w:t>The source of data and materials should be mentioned in the manuscript, in support of the findings. If the data source is not revealed, the authors need to clearly state the reasons. Authors who do not wish to share their data should clearly state that the data will not be shared, and give the reasons.</w:t>
          </w:r>
        </w:p>
      </w:docPartBody>
    </w:docPart>
    <w:docPart>
      <w:docPartPr>
        <w:name w:val="BFC228E49542478C985A2C3611A646C3"/>
        <w:category>
          <w:name w:val="General"/>
          <w:gallery w:val="placeholder"/>
        </w:category>
        <w:types>
          <w:type w:val="bbPlcHdr"/>
        </w:types>
        <w:behaviors>
          <w:behavior w:val="content"/>
        </w:behaviors>
        <w:guid w:val="{989042E4-8784-4586-A1CB-FD8378B3AC30}"/>
      </w:docPartPr>
      <w:docPartBody>
        <w:p w:rsidR="008106CE" w:rsidRDefault="002A0EA2" w:rsidP="002A0EA2">
          <w:pPr>
            <w:pStyle w:val="BFC228E49542478C985A2C3611A646C36"/>
          </w:pPr>
          <w:r w:rsidRPr="00CA60EF">
            <w:rPr>
              <w:color w:val="A6A6A6"/>
              <w:lang w:eastAsia="en-US"/>
            </w:rPr>
            <w:t xml:space="preserve">The authors need to declare the funding sources of their manuscripts clearly by providing the name of the funding agency or financial support along with allotted grant/award number in round brackets (if applied), for instance, “This work was </w:t>
          </w:r>
          <w:r w:rsidRPr="00CA60EF">
            <w:rPr>
              <w:color w:val="A6A6A6"/>
            </w:rPr>
            <w:t>financially</w:t>
          </w:r>
          <w:r w:rsidRPr="00CA60EF">
            <w:rPr>
              <w:color w:val="A6A6A6"/>
              <w:lang w:eastAsia="en-US"/>
            </w:rPr>
            <w:t xml:space="preserve"> supported by [Name of the funding agency] (Grant number XXX).</w:t>
          </w:r>
        </w:p>
      </w:docPartBody>
    </w:docPart>
    <w:docPart>
      <w:docPartPr>
        <w:name w:val="7DA2DF8731294BDC8CFDFA00DAD96401"/>
        <w:category>
          <w:name w:val="General"/>
          <w:gallery w:val="placeholder"/>
        </w:category>
        <w:types>
          <w:type w:val="bbPlcHdr"/>
        </w:types>
        <w:behaviors>
          <w:behavior w:val="content"/>
        </w:behaviors>
        <w:guid w:val="{0A278CB6-70FF-4129-92DB-1EB7B52F8F0F}"/>
      </w:docPartPr>
      <w:docPartBody>
        <w:p w:rsidR="008106CE" w:rsidRDefault="002A0EA2" w:rsidP="002A0EA2">
          <w:pPr>
            <w:pStyle w:val="7DA2DF8731294BDC8CFDFA00DAD964016"/>
          </w:pPr>
          <w:r w:rsidRPr="00CA60EF">
            <w:rPr>
              <w:color w:val="A6A6A6"/>
            </w:rPr>
            <w:t>Financial contributions and any potential conflict of interest must be clearly acknowledged under the heading ‘Conflict of Interest’. Authors must list the source(s) of funding for the study. This should be done for each author.</w:t>
          </w:r>
        </w:p>
      </w:docPartBody>
    </w:docPart>
    <w:docPart>
      <w:docPartPr>
        <w:name w:val="B8EE2281FD9042E9BE2B0CEAF00FEB77"/>
        <w:category>
          <w:name w:val="General"/>
          <w:gallery w:val="placeholder"/>
        </w:category>
        <w:types>
          <w:type w:val="bbPlcHdr"/>
        </w:types>
        <w:behaviors>
          <w:behavior w:val="content"/>
        </w:behaviors>
        <w:guid w:val="{5A3541A7-8E87-4ED6-AF99-46CA9E6FCF54}"/>
      </w:docPartPr>
      <w:docPartBody>
        <w:p w:rsidR="008106CE" w:rsidRDefault="002A0EA2" w:rsidP="002A0EA2">
          <w:pPr>
            <w:pStyle w:val="B8EE2281FD9042E9BE2B0CEAF00FEB776"/>
          </w:pPr>
          <w:r w:rsidRPr="00CA60EF">
            <w:rPr>
              <w:color w:val="A6A6A6"/>
            </w:rPr>
            <w:t>All individuals listed as authors must have contributed substantially to the design, performance, analysis, or reporting of the work and are required to indicate their specific contribution. Anyone (individual/company/</w:t>
          </w:r>
          <w:r>
            <w:rPr>
              <w:color w:val="A6A6A6"/>
            </w:rPr>
            <w:t xml:space="preserve"> </w:t>
          </w:r>
          <w:r w:rsidRPr="00CA60EF">
            <w:rPr>
              <w:color w:val="A6A6A6"/>
            </w:rPr>
            <w:t>institution) who has substantially contributed to the study for important intellectual content, or who was involved in the article’s drafting the manuscript or revising must also be acknowledged.</w:t>
          </w:r>
        </w:p>
      </w:docPartBody>
    </w:docPart>
    <w:docPart>
      <w:docPartPr>
        <w:name w:val="28E2F48476474141B156A65B0901B84F"/>
        <w:category>
          <w:name w:val="Generale"/>
          <w:gallery w:val="placeholder"/>
        </w:category>
        <w:types>
          <w:type w:val="bbPlcHdr"/>
        </w:types>
        <w:behaviors>
          <w:behavior w:val="content"/>
        </w:behaviors>
        <w:guid w:val="{F6500EF6-41C7-41E8-AFBE-041DD14C6D28}"/>
      </w:docPartPr>
      <w:docPartBody>
        <w:p w:rsidR="00290795" w:rsidRDefault="00137AB6" w:rsidP="00137AB6">
          <w:pPr>
            <w:pStyle w:val="28E2F48476474141B156A65B0901B84F"/>
          </w:pPr>
          <w:r w:rsidRPr="00D704B4">
            <w:rPr>
              <w:color w:val="808080"/>
              <w:sz w:val="16"/>
            </w:rPr>
            <w:t>Department of xxxy, Faculty of xxx, xxx University, P.O. Box: 0000-000, City, Country; Tel/Fax: ++0-000-000-0000, +0-000-000-0000</w:t>
          </w:r>
        </w:p>
      </w:docPartBody>
    </w:docPart>
    <w:docPart>
      <w:docPartPr>
        <w:name w:val="A17141ED14514FF4B97DABFD0C974B18"/>
        <w:category>
          <w:name w:val="Generale"/>
          <w:gallery w:val="placeholder"/>
        </w:category>
        <w:types>
          <w:type w:val="bbPlcHdr"/>
        </w:types>
        <w:behaviors>
          <w:behavior w:val="content"/>
        </w:behaviors>
        <w:guid w:val="{5EAD32D0-F802-4DB6-A5B6-0F4F94C406D0}"/>
      </w:docPartPr>
      <w:docPartBody>
        <w:p w:rsidR="00290795" w:rsidRDefault="00137AB6" w:rsidP="00137AB6">
          <w:pPr>
            <w:pStyle w:val="A17141ED14514FF4B97DABFD0C974B18"/>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ECEE187784B04486A94C91688F3F02FA"/>
        <w:category>
          <w:name w:val="Generale"/>
          <w:gallery w:val="placeholder"/>
        </w:category>
        <w:types>
          <w:type w:val="bbPlcHdr"/>
        </w:types>
        <w:behaviors>
          <w:behavior w:val="content"/>
        </w:behaviors>
        <w:guid w:val="{5B95C7A8-7399-4329-9DD9-F2C2FBE6A98B}"/>
      </w:docPartPr>
      <w:docPartBody>
        <w:p w:rsidR="00290795" w:rsidRDefault="00137AB6" w:rsidP="00137AB6">
          <w:pPr>
            <w:pStyle w:val="ECEE187784B04486A94C91688F3F02FA"/>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793A61C3C215442F931888B0CE3A8ED9"/>
        <w:category>
          <w:name w:val="Generale"/>
          <w:gallery w:val="placeholder"/>
        </w:category>
        <w:types>
          <w:type w:val="bbPlcHdr"/>
        </w:types>
        <w:behaviors>
          <w:behavior w:val="content"/>
        </w:behaviors>
        <w:guid w:val="{351BA0D3-AF78-4A7B-B85C-EB678AE756B2}"/>
      </w:docPartPr>
      <w:docPartBody>
        <w:p w:rsidR="00290795" w:rsidRDefault="00137AB6" w:rsidP="00137AB6">
          <w:pPr>
            <w:pStyle w:val="793A61C3C215442F931888B0CE3A8ED9"/>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46C6A7FD28304C3E9700DEBCD881664A"/>
        <w:category>
          <w:name w:val="Generale"/>
          <w:gallery w:val="placeholder"/>
        </w:category>
        <w:types>
          <w:type w:val="bbPlcHdr"/>
        </w:types>
        <w:behaviors>
          <w:behavior w:val="content"/>
        </w:behaviors>
        <w:guid w:val="{41A25B11-88CC-4891-8C78-6B966637B29C}"/>
      </w:docPartPr>
      <w:docPartBody>
        <w:p w:rsidR="00290795" w:rsidRDefault="00137AB6" w:rsidP="00137AB6">
          <w:pPr>
            <w:pStyle w:val="46C6A7FD28304C3E9700DEBCD881664A"/>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7DD5CD39C0C945EE89A1A515EF8E9CAE"/>
        <w:category>
          <w:name w:val="Generale"/>
          <w:gallery w:val="placeholder"/>
        </w:category>
        <w:types>
          <w:type w:val="bbPlcHdr"/>
        </w:types>
        <w:behaviors>
          <w:behavior w:val="content"/>
        </w:behaviors>
        <w:guid w:val="{19981A11-44A6-4C72-AAFE-286131797A34}"/>
      </w:docPartPr>
      <w:docPartBody>
        <w:p w:rsidR="00290795" w:rsidRDefault="00137AB6" w:rsidP="00137AB6">
          <w:pPr>
            <w:pStyle w:val="7DD5CD39C0C945EE89A1A515EF8E9CAE"/>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4240DEC1227A4159B030532203B7C8FC"/>
        <w:category>
          <w:name w:val="Generale"/>
          <w:gallery w:val="placeholder"/>
        </w:category>
        <w:types>
          <w:type w:val="bbPlcHdr"/>
        </w:types>
        <w:behaviors>
          <w:behavior w:val="content"/>
        </w:behaviors>
        <w:guid w:val="{960A65EC-9748-4698-8FF9-63A090DD0D61}"/>
      </w:docPartPr>
      <w:docPartBody>
        <w:p w:rsidR="00290795" w:rsidRDefault="00137AB6" w:rsidP="00137AB6">
          <w:pPr>
            <w:pStyle w:val="4240DEC1227A4159B030532203B7C8FC"/>
          </w:pPr>
          <w:r w:rsidRPr="001D430A">
            <w:rPr>
              <w:color w:val="A6A6A6"/>
              <w:sz w:val="18"/>
              <w:szCs w:val="18"/>
              <w:lang w:eastAsia="en-US"/>
            </w:rPr>
            <w:t>Each table should include a title/caption being explanatory in itself with respect to the details discussed in the table. The title should be in small case with the first letter in caps. A full stop should be placed at the end of the title.</w:t>
          </w:r>
        </w:p>
      </w:docPartBody>
    </w:docPart>
    <w:docPart>
      <w:docPartPr>
        <w:name w:val="33076C937ADD4A38AF0B5C40B8BCB5F4"/>
        <w:category>
          <w:name w:val="Generale"/>
          <w:gallery w:val="placeholder"/>
        </w:category>
        <w:types>
          <w:type w:val="bbPlcHdr"/>
        </w:types>
        <w:behaviors>
          <w:behavior w:val="content"/>
        </w:behaviors>
        <w:guid w:val="{9F44AD25-DB93-433B-9775-8C3C231DB210}"/>
      </w:docPartPr>
      <w:docPartBody>
        <w:p w:rsidR="00290795" w:rsidRDefault="00137AB6" w:rsidP="00137AB6">
          <w:pPr>
            <w:pStyle w:val="33076C937ADD4A38AF0B5C40B8BCB5F4"/>
          </w:pPr>
          <w:r w:rsidRPr="00D704B4">
            <w:rPr>
              <w:vertAlign w:val="superscript"/>
            </w:rPr>
            <w:t xml:space="preserve">* </w:t>
          </w:r>
          <w:r w:rsidRPr="00A73289">
            <w:rPr>
              <w:color w:val="A6A6A6"/>
              <w:sz w:val="16"/>
              <w:szCs w:val="16"/>
              <w:lang w:eastAsia="en-US"/>
            </w:rPr>
            <w:t>Symbols and nonstandard abbreviations should be explained in the end of the text.</w:t>
          </w:r>
        </w:p>
      </w:docPartBody>
    </w:docPart>
    <w:docPart>
      <w:docPartPr>
        <w:name w:val="B6DF2305B338496A989A7EE4A83BECD6"/>
        <w:category>
          <w:name w:val="Generale"/>
          <w:gallery w:val="placeholder"/>
        </w:category>
        <w:types>
          <w:type w:val="bbPlcHdr"/>
        </w:types>
        <w:behaviors>
          <w:behavior w:val="content"/>
        </w:behaviors>
        <w:guid w:val="{D6494CD0-D1C6-4821-8FCE-D2DBC18F8452}"/>
      </w:docPartPr>
      <w:docPartBody>
        <w:p w:rsidR="00290795" w:rsidRDefault="00137AB6" w:rsidP="00137AB6">
          <w:pPr>
            <w:pStyle w:val="B6DF2305B338496A989A7EE4A83BECD6"/>
          </w:pPr>
          <w:r w:rsidRPr="001D430A">
            <w:rPr>
              <w:color w:val="A6A6A6"/>
              <w:sz w:val="18"/>
              <w:szCs w:val="18"/>
              <w:lang w:eastAsia="en-US"/>
            </w:rPr>
            <w:t>Each table should include a title/caption being explanatory in itself with respect to the details discussed in the table. The title should be in small case with the first letter in caps. A full stop should be placed at the end of the title.</w:t>
          </w:r>
        </w:p>
      </w:docPartBody>
    </w:docPart>
    <w:docPart>
      <w:docPartPr>
        <w:name w:val="F28C7873B7CD4696B910E2323C9EA9B5"/>
        <w:category>
          <w:name w:val="Generale"/>
          <w:gallery w:val="placeholder"/>
        </w:category>
        <w:types>
          <w:type w:val="bbPlcHdr"/>
        </w:types>
        <w:behaviors>
          <w:behavior w:val="content"/>
        </w:behaviors>
        <w:guid w:val="{7F568BD0-D2A7-4FF2-BBA8-40482732A18E}"/>
      </w:docPartPr>
      <w:docPartBody>
        <w:p w:rsidR="00290795" w:rsidRDefault="00137AB6" w:rsidP="00137AB6">
          <w:pPr>
            <w:pStyle w:val="F28C7873B7CD4696B910E2323C9EA9B5"/>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58DAC1D088A049F5AE0105DB059A085D"/>
        <w:category>
          <w:name w:val="Generale"/>
          <w:gallery w:val="placeholder"/>
        </w:category>
        <w:types>
          <w:type w:val="bbPlcHdr"/>
        </w:types>
        <w:behaviors>
          <w:behavior w:val="content"/>
        </w:behaviors>
        <w:guid w:val="{53130070-A1F2-4023-A43C-6DD00909E541}"/>
      </w:docPartPr>
      <w:docPartBody>
        <w:p w:rsidR="00290795" w:rsidRDefault="00137AB6" w:rsidP="00137AB6">
          <w:pPr>
            <w:pStyle w:val="58DAC1D088A049F5AE0105DB059A085D"/>
          </w:pPr>
          <w:r w:rsidRPr="00A73289">
            <w:rPr>
              <w:color w:val="A6A6A6"/>
              <w:sz w:val="21"/>
              <w:szCs w:val="21"/>
              <w:lang w:eastAsia="en-US"/>
            </w:rPr>
            <w:t>The important and main findings of the study should come first in the Results Section. The tables, figures and references should be given in sequence to emphasize the important information or observations related to the research. The repetition of data in tables and figures should be avoided. Results should be precise.</w:t>
          </w:r>
        </w:p>
      </w:docPartBody>
    </w:docPart>
    <w:docPart>
      <w:docPartPr>
        <w:name w:val="B036422394CE4C12A33E16E03D8528F2"/>
        <w:category>
          <w:name w:val="Generale"/>
          <w:gallery w:val="placeholder"/>
        </w:category>
        <w:types>
          <w:type w:val="bbPlcHdr"/>
        </w:types>
        <w:behaviors>
          <w:behavior w:val="content"/>
        </w:behaviors>
        <w:guid w:val="{3407E7A6-74FC-48E8-88CC-25D23A37EBF3}"/>
      </w:docPartPr>
      <w:docPartBody>
        <w:p w:rsidR="00406ACA" w:rsidRDefault="00290795" w:rsidP="00290795">
          <w:pPr>
            <w:pStyle w:val="B036422394CE4C12A33E16E03D8528F2"/>
          </w:pPr>
          <w:r w:rsidRPr="00A73289">
            <w:rPr>
              <w:color w:val="A6A6A6"/>
              <w:sz w:val="21"/>
              <w:szCs w:val="21"/>
              <w:lang w:eastAsia="en-US"/>
            </w:rPr>
            <w:t xml:space="preserve">This section provides details of the methodology used along with information on any previous efforts with corresponding references. Any details for further modifications and </w:t>
          </w:r>
          <w:r w:rsidRPr="00786943">
            <w:rPr>
              <w:color w:val="808080"/>
            </w:rPr>
            <w:t>research</w:t>
          </w:r>
          <w:r w:rsidRPr="00A73289">
            <w:rPr>
              <w:color w:val="A6A6A6"/>
              <w:sz w:val="21"/>
              <w:szCs w:val="21"/>
              <w:lang w:eastAsia="en-US"/>
            </w:rPr>
            <w:t xml:space="preserve"> should be included. Sufficient</w:t>
          </w:r>
          <w:r>
            <w:rPr>
              <w:color w:val="A6A6A6"/>
              <w:sz w:val="21"/>
              <w:szCs w:val="21"/>
              <w:lang w:eastAsia="en-US"/>
            </w:rPr>
            <w:t xml:space="preserve"> </w:t>
          </w:r>
          <w:r w:rsidRPr="00A73289">
            <w:rPr>
              <w:color w:val="A6A6A6"/>
              <w:sz w:val="21"/>
              <w:szCs w:val="21"/>
              <w:lang w:eastAsia="en-US"/>
            </w:rPr>
            <w:t>details should be provided to the reader about the original data source in order to enable the analysis, appropriateness and verification of the results reported in the study.</w:t>
          </w:r>
        </w:p>
      </w:docPartBody>
    </w:docPart>
    <w:docPart>
      <w:docPartPr>
        <w:name w:val="8FCA0456AACB47908839BC4E91062149"/>
        <w:category>
          <w:name w:val="Generale"/>
          <w:gallery w:val="placeholder"/>
        </w:category>
        <w:types>
          <w:type w:val="bbPlcHdr"/>
        </w:types>
        <w:behaviors>
          <w:behavior w:val="content"/>
        </w:behaviors>
        <w:guid w:val="{D97B1A21-912E-45D3-929D-B7C0F38D01F5}"/>
      </w:docPartPr>
      <w:docPartBody>
        <w:p w:rsidR="00406ACA" w:rsidRDefault="00290795" w:rsidP="00290795">
          <w:pPr>
            <w:pStyle w:val="8FCA0456AACB47908839BC4E91062149"/>
          </w:pPr>
          <w:r w:rsidRPr="00CA60EF">
            <w:rPr>
              <w:color w:val="A6A6A6"/>
            </w:rPr>
            <w:t>All clinical investigations should be conducted according to the </w:t>
          </w:r>
          <w:hyperlink r:id="rId6" w:tgtFrame="xrefwindow" w:history="1">
            <w:r w:rsidRPr="00CA60EF">
              <w:rPr>
                <w:rStyle w:val="Collegamentoipertestuale"/>
                <w:b/>
                <w:bCs/>
                <w:color w:val="A6A6A6"/>
              </w:rPr>
              <w:t>Declaration of Helsinki</w:t>
            </w:r>
          </w:hyperlink>
          <w:r w:rsidRPr="00CA60EF">
            <w:rPr>
              <w:color w:val="A6A6A6"/>
            </w:rPr>
            <w:t> principles.</w:t>
          </w:r>
        </w:p>
      </w:docPartBody>
    </w:docPart>
    <w:docPart>
      <w:docPartPr>
        <w:name w:val="DAE0A399AEDC44CC9EB6637DDB56B8A1"/>
        <w:category>
          <w:name w:val="Generale"/>
          <w:gallery w:val="placeholder"/>
        </w:category>
        <w:types>
          <w:type w:val="bbPlcHdr"/>
        </w:types>
        <w:behaviors>
          <w:behavior w:val="content"/>
        </w:behaviors>
        <w:guid w:val="{C02CF245-34AE-4551-BCA5-41F8E0C2D3F5}"/>
      </w:docPartPr>
      <w:docPartBody>
        <w:p w:rsidR="00406ACA" w:rsidRDefault="00290795" w:rsidP="00290795">
          <w:pPr>
            <w:pStyle w:val="DAE0A399AEDC44CC9EB6637DDB56B8A1"/>
          </w:pPr>
          <w:r w:rsidRPr="00CA60EF">
            <w:rPr>
              <w:color w:val="A6A6A6"/>
            </w:rPr>
            <w:t>All clinical investigations should be conducted according to the </w:t>
          </w:r>
          <w:hyperlink r:id="rId7" w:tgtFrame="xrefwindow" w:history="1">
            <w:r w:rsidRPr="00CA60EF">
              <w:rPr>
                <w:rStyle w:val="Collegamentoipertestuale"/>
                <w:b/>
                <w:bCs/>
                <w:color w:val="A6A6A6"/>
              </w:rPr>
              <w:t>Declaration of Helsinki</w:t>
            </w:r>
          </w:hyperlink>
          <w:r w:rsidRPr="00CA60EF">
            <w:rPr>
              <w:color w:val="A6A6A6"/>
            </w:rPr>
            <w:t> principles.</w:t>
          </w:r>
        </w:p>
      </w:docPartBody>
    </w:docPart>
    <w:docPart>
      <w:docPartPr>
        <w:name w:val="27467D67A75E48C4ADBB383DE466CC83"/>
        <w:category>
          <w:name w:val="Generale"/>
          <w:gallery w:val="placeholder"/>
        </w:category>
        <w:types>
          <w:type w:val="bbPlcHdr"/>
        </w:types>
        <w:behaviors>
          <w:behavior w:val="content"/>
        </w:behaviors>
        <w:guid w:val="{28C6D482-DB3C-4615-88B8-ED214F670D4A}"/>
      </w:docPartPr>
      <w:docPartBody>
        <w:p w:rsidR="00406ACA" w:rsidRDefault="00290795" w:rsidP="00290795">
          <w:pPr>
            <w:pStyle w:val="27467D67A75E48C4ADBB383DE466CC83"/>
          </w:pPr>
          <w:r w:rsidRPr="00CA60EF">
            <w:rPr>
              <w:color w:val="A6A6A6"/>
            </w:rPr>
            <w:t xml:space="preserve">Authors should clearly state the name of the approval </w:t>
          </w:r>
          <w:r w:rsidRPr="00CA60EF">
            <w:rPr>
              <w:color w:val="A6A6A6"/>
              <w:lang w:eastAsia="en-US"/>
            </w:rPr>
            <w:t>committee</w:t>
          </w:r>
          <w:r w:rsidRPr="00CA60EF">
            <w:rPr>
              <w:color w:val="A6A6A6"/>
            </w:rPr>
            <w:t>, highlighting that legal and ethical approvals were obtained prior to initiation of the research work carried out on animals, and that the experiments were performed in accordance with the relevant guidelines and regulations.</w:t>
          </w:r>
        </w:p>
      </w:docPartBody>
    </w:docPart>
    <w:docPart>
      <w:docPartPr>
        <w:name w:val="DE72A0BE8DE44C778DABC3A3AACF7A43"/>
        <w:category>
          <w:name w:val="Generale"/>
          <w:gallery w:val="placeholder"/>
        </w:category>
        <w:types>
          <w:type w:val="bbPlcHdr"/>
        </w:types>
        <w:behaviors>
          <w:behavior w:val="content"/>
        </w:behaviors>
        <w:guid w:val="{BEF47B82-1D59-4C94-864D-01FE8B2B8A20}"/>
      </w:docPartPr>
      <w:docPartBody>
        <w:p w:rsidR="005F2A7C" w:rsidRDefault="00C85556" w:rsidP="00C85556">
          <w:pPr>
            <w:pStyle w:val="DE72A0BE8DE44C778DABC3A3AACF7A43"/>
          </w:pPr>
          <w:r w:rsidRPr="00CA60EF">
            <w:rPr>
              <w:color w:val="A6A6A6"/>
              <w:lang w:eastAsia="en-US"/>
            </w:rPr>
            <w:t>This should explore the significance of the results of the work, present a reproducible procedure and emphasis the importance of the article in the light of recent developments in the field. Extensive citations and discussion of published literature should be avoided.</w:t>
          </w:r>
        </w:p>
      </w:docPartBody>
    </w:docPart>
    <w:docPart>
      <w:docPartPr>
        <w:name w:val="85B2CA061240473D861D7DBF78A4CA74"/>
        <w:category>
          <w:name w:val="Generale"/>
          <w:gallery w:val="placeholder"/>
        </w:category>
        <w:types>
          <w:type w:val="bbPlcHdr"/>
        </w:types>
        <w:behaviors>
          <w:behavior w:val="content"/>
        </w:behaviors>
        <w:guid w:val="{A4C84A41-CFF8-4F86-A34C-A4A0ED3A024A}"/>
      </w:docPartPr>
      <w:docPartBody>
        <w:p w:rsidR="005F2A7C" w:rsidRDefault="00C85556" w:rsidP="00C85556">
          <w:pPr>
            <w:pStyle w:val="85B2CA061240473D861D7DBF78A4CA74"/>
          </w:pPr>
          <w:r w:rsidRPr="00CA60EF">
            <w:rPr>
              <w:color w:val="A6A6A6"/>
              <w:lang w:eastAsia="en-US"/>
            </w:rPr>
            <w:t>This should explore the significance of the results of the work, present a reproducible procedure and emphasis the importance of the article in the light of recent developments in the field. Extensive citations and discussion of published literature should be avoided.</w:t>
          </w:r>
        </w:p>
      </w:docPartBody>
    </w:docPart>
    <w:docPart>
      <w:docPartPr>
        <w:name w:val="E8A2C98C18CE431C94FDA3705F08DE0F"/>
        <w:category>
          <w:name w:val="Generale"/>
          <w:gallery w:val="placeholder"/>
        </w:category>
        <w:types>
          <w:type w:val="bbPlcHdr"/>
        </w:types>
        <w:behaviors>
          <w:behavior w:val="content"/>
        </w:behaviors>
        <w:guid w:val="{CF82495B-46B7-4B2C-B40E-92AEE809A786}"/>
      </w:docPartPr>
      <w:docPartBody>
        <w:p w:rsidR="005F2A7C" w:rsidRDefault="00C85556" w:rsidP="00C85556">
          <w:pPr>
            <w:pStyle w:val="E8A2C98C18CE431C94FDA3705F08DE0F"/>
          </w:pPr>
          <w:r w:rsidRPr="00CA60EF">
            <w:rPr>
              <w:color w:val="A6A6A6"/>
            </w:rPr>
            <w:t xml:space="preserve">Authors should clearly state the name of the approval </w:t>
          </w:r>
          <w:r w:rsidRPr="00CA60EF">
            <w:rPr>
              <w:color w:val="A6A6A6"/>
              <w:lang w:eastAsia="en-US"/>
            </w:rPr>
            <w:t>committee</w:t>
          </w:r>
          <w:r w:rsidRPr="00CA60EF">
            <w:rPr>
              <w:color w:val="A6A6A6"/>
            </w:rPr>
            <w:t>, highlighting that legal and ethical approvals were obtained prior to initiation of the research work carried out on animals, and that the experiments were performed in accordance with the relevant guidelines and regulations.</w:t>
          </w:r>
        </w:p>
      </w:docPartBody>
    </w:docPart>
    <w:docPart>
      <w:docPartPr>
        <w:name w:val="1A91FACEE0DF487E8401C9C23D7394C4"/>
        <w:category>
          <w:name w:val="Generale"/>
          <w:gallery w:val="placeholder"/>
        </w:category>
        <w:types>
          <w:type w:val="bbPlcHdr"/>
        </w:types>
        <w:behaviors>
          <w:behavior w:val="content"/>
        </w:behaviors>
        <w:guid w:val="{A8FF3B25-9B20-4DD8-BA4F-3889A0250501}"/>
      </w:docPartPr>
      <w:docPartBody>
        <w:p w:rsidR="00FF1CBA" w:rsidRDefault="00E224E6" w:rsidP="00E224E6">
          <w:pPr>
            <w:pStyle w:val="1A91FACEE0DF487E8401C9C23D7394C4"/>
          </w:pPr>
          <w:r w:rsidRPr="001D430A">
            <w:rPr>
              <w:color w:val="A6A6A6"/>
              <w:sz w:val="18"/>
              <w:szCs w:val="18"/>
            </w:rPr>
            <w:t xml:space="preserve">This is a figure. </w:t>
          </w:r>
          <w:r w:rsidRPr="001D430A">
            <w:rPr>
              <w:color w:val="A6A6A6"/>
              <w:sz w:val="18"/>
              <w:szCs w:val="18"/>
              <w:lang w:eastAsia="en-US"/>
            </w:rPr>
            <w:t>Each figure should include only a single illustration which should be cropped to minimize the amount of space occupied by the illustration.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ta Bold LF">
    <w:altName w:val="Microsoft YaHei"/>
    <w:charset w:val="86"/>
    <w:family w:val="roman"/>
    <w:pitch w:val="default"/>
    <w:sig w:usb0="00000000" w:usb1="00000000" w:usb2="00000010" w:usb3="00000000" w:csb0="00040001" w:csb1="00000000"/>
  </w:font>
  <w:font w:name="Relay">
    <w:altName w:val="Microsoft YaHei"/>
    <w:panose1 w:val="00000000000000000000"/>
    <w:charset w:val="86"/>
    <w:family w:val="swiss"/>
    <w:notTrueType/>
    <w:pitch w:val="default"/>
    <w:sig w:usb0="00000003" w:usb1="080E0000" w:usb2="00000010"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ohit Devanagari">
    <w:charset w:val="01"/>
    <w:family w:val="auto"/>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eta Normal LF">
    <w:altName w:val="Malgun Gothic Semilight"/>
    <w:panose1 w:val="00000000000000000000"/>
    <w:charset w:val="86"/>
    <w:family w:val="roman"/>
    <w:notTrueType/>
    <w:pitch w:val="default"/>
    <w:sig w:usb0="00000000" w:usb1="080E0000" w:usb2="00000010" w:usb3="00000000" w:csb0="00040000" w:csb1="00000000"/>
  </w:font>
  <w:font w:name="DejaVu Sans">
    <w:altName w:val="Times New Roman"/>
    <w:charset w:val="00"/>
    <w:family w:val="swiss"/>
    <w:pitch w:val="variable"/>
  </w:font>
  <w:font w:name="PMingLiU">
    <w:altName w:val="新細明體"/>
    <w:panose1 w:val="02010601000101010101"/>
    <w:charset w:val="88"/>
    <w:family w:val="roman"/>
    <w:pitch w:val="variable"/>
    <w:sig w:usb0="A00002FF" w:usb1="28CFFCFA" w:usb2="00000016" w:usb3="00000000" w:csb0="00100001" w:csb1="00000000"/>
  </w:font>
  <w:font w:name="Helv">
    <w:panose1 w:val="020B060402020203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E7534"/>
    <w:multiLevelType w:val="multilevel"/>
    <w:tmpl w:val="146A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277665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B9A"/>
    <w:rsid w:val="00067906"/>
    <w:rsid w:val="00091B9A"/>
    <w:rsid w:val="00094992"/>
    <w:rsid w:val="00095F9A"/>
    <w:rsid w:val="000F019E"/>
    <w:rsid w:val="001370E0"/>
    <w:rsid w:val="00137AB6"/>
    <w:rsid w:val="00252214"/>
    <w:rsid w:val="00290795"/>
    <w:rsid w:val="002A0EA2"/>
    <w:rsid w:val="002A6DBD"/>
    <w:rsid w:val="003060A3"/>
    <w:rsid w:val="00385EA7"/>
    <w:rsid w:val="003C422E"/>
    <w:rsid w:val="003F6202"/>
    <w:rsid w:val="00406ACA"/>
    <w:rsid w:val="004A4216"/>
    <w:rsid w:val="005373D3"/>
    <w:rsid w:val="005440EF"/>
    <w:rsid w:val="00551166"/>
    <w:rsid w:val="005C1D23"/>
    <w:rsid w:val="005F2A7C"/>
    <w:rsid w:val="006A107C"/>
    <w:rsid w:val="006D7B6E"/>
    <w:rsid w:val="00775DEF"/>
    <w:rsid w:val="00786601"/>
    <w:rsid w:val="008106CE"/>
    <w:rsid w:val="008E645C"/>
    <w:rsid w:val="00942A9D"/>
    <w:rsid w:val="00AF4D8E"/>
    <w:rsid w:val="00B255DC"/>
    <w:rsid w:val="00B55705"/>
    <w:rsid w:val="00B82579"/>
    <w:rsid w:val="00BC1664"/>
    <w:rsid w:val="00C72E5B"/>
    <w:rsid w:val="00C85556"/>
    <w:rsid w:val="00D9324B"/>
    <w:rsid w:val="00DD2330"/>
    <w:rsid w:val="00E06B81"/>
    <w:rsid w:val="00E224E6"/>
    <w:rsid w:val="00E53BC6"/>
    <w:rsid w:val="00E65C8A"/>
    <w:rsid w:val="00E725BD"/>
    <w:rsid w:val="00E94805"/>
    <w:rsid w:val="00F16796"/>
    <w:rsid w:val="00F66757"/>
    <w:rsid w:val="00FA183D"/>
    <w:rsid w:val="00FB0E01"/>
    <w:rsid w:val="00FB1483"/>
    <w:rsid w:val="00FF0E1D"/>
    <w:rsid w:val="00FF1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37AB6"/>
    <w:rPr>
      <w:color w:val="808080"/>
    </w:rPr>
  </w:style>
  <w:style w:type="paragraph" w:styleId="NormaleWeb">
    <w:name w:val="Normal (Web)"/>
    <w:basedOn w:val="Normale"/>
    <w:uiPriority w:val="99"/>
    <w:rsid w:val="002A0EA2"/>
    <w:pPr>
      <w:suppressAutoHyphens/>
      <w:spacing w:before="280" w:after="280" w:line="240" w:lineRule="auto"/>
    </w:pPr>
    <w:rPr>
      <w:rFonts w:ascii="Times New Roman" w:eastAsia="Times New Roman" w:hAnsi="Times New Roman" w:cs="Times New Roman"/>
      <w:sz w:val="24"/>
      <w:szCs w:val="24"/>
      <w:lang w:val="es-ES_tradnl" w:eastAsia="zh-CN"/>
    </w:rPr>
  </w:style>
  <w:style w:type="character" w:styleId="Numeropagina">
    <w:name w:val="page number"/>
    <w:basedOn w:val="Carpredefinitoparagrafo"/>
    <w:rsid w:val="00091B9A"/>
  </w:style>
  <w:style w:type="character" w:styleId="Collegamentoipertestuale">
    <w:name w:val="Hyperlink"/>
    <w:rsid w:val="00290795"/>
    <w:rPr>
      <w:color w:val="0000FF"/>
      <w:u w:val="single"/>
    </w:rPr>
  </w:style>
  <w:style w:type="character" w:styleId="MacchinadascrivereHTML">
    <w:name w:val="HTML Typewriter"/>
    <w:rsid w:val="00091B9A"/>
    <w:rPr>
      <w:rFonts w:ascii="Courier New" w:eastAsia="Times New Roman" w:hAnsi="Courier New" w:cs="Courier New"/>
      <w:sz w:val="20"/>
      <w:szCs w:val="20"/>
    </w:rPr>
  </w:style>
  <w:style w:type="paragraph" w:customStyle="1" w:styleId="BF014631AB5B42088C4D11C96A5D77A6">
    <w:name w:val="BF014631AB5B42088C4D11C96A5D77A6"/>
    <w:rsid w:val="00091B9A"/>
    <w:pPr>
      <w:suppressAutoHyphens/>
      <w:spacing w:after="0" w:line="240" w:lineRule="auto"/>
    </w:pPr>
    <w:rPr>
      <w:rFonts w:ascii="Times New Roman" w:eastAsia="Times New Roman" w:hAnsi="Times New Roman" w:cs="Times New Roman"/>
      <w:sz w:val="24"/>
      <w:szCs w:val="24"/>
      <w:lang w:eastAsia="zh-CN"/>
    </w:rPr>
  </w:style>
  <w:style w:type="paragraph" w:customStyle="1" w:styleId="4656967E6B8546F19A067AA5DD798E7248">
    <w:name w:val="4656967E6B8546F19A067AA5DD798E7248"/>
    <w:rsid w:val="002A0EA2"/>
    <w:pPr>
      <w:suppressAutoHyphens/>
      <w:spacing w:after="200" w:line="216" w:lineRule="auto"/>
      <w:jc w:val="both"/>
    </w:pPr>
    <w:rPr>
      <w:rFonts w:ascii="Times New Roman" w:eastAsia="Times" w:hAnsi="Times New Roman" w:cs="Times New Roman"/>
      <w:b/>
      <w:sz w:val="32"/>
      <w:szCs w:val="20"/>
      <w:lang w:eastAsia="zh-CN"/>
    </w:rPr>
  </w:style>
  <w:style w:type="paragraph" w:customStyle="1" w:styleId="AB23BFB36EF841F38515A6CC7671FEA546">
    <w:name w:val="AB23BFB36EF841F38515A6CC7671FEA546"/>
    <w:rsid w:val="002A0EA2"/>
    <w:pPr>
      <w:suppressAutoHyphens/>
      <w:spacing w:before="240" w:after="480" w:line="220" w:lineRule="exact"/>
      <w:ind w:right="567"/>
    </w:pPr>
    <w:rPr>
      <w:rFonts w:ascii="Times New Roman" w:eastAsia="Times" w:hAnsi="Times New Roman" w:cs="Times New Roman"/>
      <w:sz w:val="24"/>
      <w:szCs w:val="20"/>
      <w:lang w:eastAsia="zh-CN"/>
    </w:rPr>
  </w:style>
  <w:style w:type="paragraph" w:customStyle="1" w:styleId="F316156A1D4C4DA8BCA9CD1D3C2965A142">
    <w:name w:val="F316156A1D4C4DA8BCA9CD1D3C2965A142"/>
    <w:rsid w:val="002A0EA2"/>
    <w:pPr>
      <w:suppressAutoHyphens/>
      <w:spacing w:before="280" w:after="280" w:line="240" w:lineRule="auto"/>
    </w:pPr>
    <w:rPr>
      <w:rFonts w:ascii="Times New Roman" w:eastAsia="Times New Roman" w:hAnsi="Times New Roman" w:cs="Times New Roman"/>
      <w:sz w:val="24"/>
      <w:szCs w:val="24"/>
      <w:lang w:val="es-ES_tradnl" w:eastAsia="zh-CN"/>
    </w:rPr>
  </w:style>
  <w:style w:type="paragraph" w:customStyle="1" w:styleId="85C2668CDC384307B038AC8EC238810341">
    <w:name w:val="85C2668CDC384307B038AC8EC238810341"/>
    <w:rsid w:val="002A0EA2"/>
    <w:pPr>
      <w:suppressAutoHyphens/>
      <w:spacing w:after="360" w:line="220" w:lineRule="exact"/>
      <w:ind w:left="851" w:right="567"/>
      <w:jc w:val="both"/>
    </w:pPr>
    <w:rPr>
      <w:rFonts w:ascii="Times New Roman" w:eastAsia="Times" w:hAnsi="Times New Roman" w:cs="Times New Roman"/>
      <w:sz w:val="18"/>
      <w:szCs w:val="20"/>
      <w:lang w:eastAsia="zh-CN"/>
    </w:rPr>
  </w:style>
  <w:style w:type="paragraph" w:customStyle="1" w:styleId="6235026965FB4A75BAB425EC87C4FF9B35">
    <w:name w:val="6235026965FB4A75BAB425EC87C4FF9B35"/>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AF36F08DE5C14B3BBAFEAFAE26825C8F34">
    <w:name w:val="AF36F08DE5C14B3BBAFEAFAE26825C8F34"/>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BA496C978DF7498BB2DEC05ECFC67E4133">
    <w:name w:val="BA496C978DF7498BB2DEC05ECFC67E4133"/>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6A576D02B1884649B7A859755E1583CA31">
    <w:name w:val="6A576D02B1884649B7A859755E1583CA31"/>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60C6284AFDE041CDA54F215AEB7340AD29">
    <w:name w:val="60C6284AFDE041CDA54F215AEB7340AD29"/>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AFA1F6A560C44B56905B8A899E5F086328">
    <w:name w:val="AFA1F6A560C44B56905B8A899E5F086328"/>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C4039AFDECBD4B6CB1079F3B47B7371825">
    <w:name w:val="C4039AFDECBD4B6CB1079F3B47B7371825"/>
    <w:rsid w:val="002A0EA2"/>
    <w:pPr>
      <w:suppressAutoHyphens/>
      <w:spacing w:after="0" w:line="240" w:lineRule="auto"/>
    </w:pPr>
    <w:rPr>
      <w:rFonts w:ascii="Times New Roman" w:eastAsia="Times New Roman" w:hAnsi="Times New Roman" w:cs="Times New Roman"/>
      <w:sz w:val="24"/>
      <w:szCs w:val="24"/>
      <w:lang w:eastAsia="zh-CN"/>
    </w:rPr>
  </w:style>
  <w:style w:type="paragraph" w:customStyle="1" w:styleId="BD5101FE76414B2C89366B8CC9FB97FD22">
    <w:name w:val="BD5101FE76414B2C89366B8CC9FB97FD22"/>
    <w:rsid w:val="002A0EA2"/>
    <w:pPr>
      <w:suppressAutoHyphens/>
      <w:spacing w:after="0" w:line="240" w:lineRule="auto"/>
    </w:pPr>
    <w:rPr>
      <w:rFonts w:ascii="Times New Roman" w:eastAsia="Times New Roman" w:hAnsi="Times New Roman" w:cs="Times New Roman"/>
      <w:sz w:val="24"/>
      <w:szCs w:val="24"/>
      <w:lang w:eastAsia="zh-CN"/>
    </w:rPr>
  </w:style>
  <w:style w:type="paragraph" w:customStyle="1" w:styleId="16CC2C2F37CB4A7482616A45E5BCCBAE17">
    <w:name w:val="16CC2C2F37CB4A7482616A45E5BCCBAE17"/>
    <w:rsid w:val="002A0EA2"/>
    <w:pPr>
      <w:suppressAutoHyphens/>
      <w:spacing w:after="0" w:line="240" w:lineRule="auto"/>
    </w:pPr>
    <w:rPr>
      <w:rFonts w:ascii="Times New Roman" w:eastAsia="Times New Roman" w:hAnsi="Times New Roman" w:cs="Times New Roman"/>
      <w:sz w:val="24"/>
      <w:szCs w:val="24"/>
      <w:lang w:eastAsia="zh-CN"/>
    </w:rPr>
  </w:style>
  <w:style w:type="paragraph" w:customStyle="1" w:styleId="51886EBB20ED4C0093FDBC8F12BD7FC09">
    <w:name w:val="51886EBB20ED4C0093FDBC8F12BD7FC09"/>
    <w:rsid w:val="002A0EA2"/>
    <w:pPr>
      <w:suppressAutoHyphens/>
      <w:spacing w:after="0" w:line="240" w:lineRule="auto"/>
    </w:pPr>
    <w:rPr>
      <w:rFonts w:ascii="Times New Roman" w:eastAsia="Times New Roman" w:hAnsi="Times New Roman" w:cs="Times New Roman"/>
      <w:sz w:val="24"/>
      <w:szCs w:val="24"/>
      <w:lang w:eastAsia="zh-CN"/>
    </w:rPr>
  </w:style>
  <w:style w:type="paragraph" w:customStyle="1" w:styleId="8C2AC9F4C313497CA7809C071F1450048">
    <w:name w:val="8C2AC9F4C313497CA7809C071F1450048"/>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B0F946265262440994C45FC916D0270D8">
    <w:name w:val="B0F946265262440994C45FC916D0270D8"/>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2FD84F6C63AC4730BBDF8285F73B340B7">
    <w:name w:val="2FD84F6C63AC4730BBDF8285F73B340B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1A90FA6B95C24229B8F4CF376414AA9F7">
    <w:name w:val="1A90FA6B95C24229B8F4CF376414AA9F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E146CA732C9F48A1ABA40656C10725087">
    <w:name w:val="E146CA732C9F48A1ABA40656C1072508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B8FC5E39AE9140B0B1CF6F350B31F3F07">
    <w:name w:val="B8FC5E39AE9140B0B1CF6F350B31F3F0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019157AFF52341DE87803E234BC4BA9B7">
    <w:name w:val="019157AFF52341DE87803E234BC4BA9B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3A57A8652B9049379C1C03AE9180E4AD7">
    <w:name w:val="3A57A8652B9049379C1C03AE9180E4AD7"/>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743643C9A7FC48B382F5FC2A64531DDC6">
    <w:name w:val="743643C9A7FC48B382F5FC2A64531DDC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031A8ECA33104064A4C8AFF997100B536">
    <w:name w:val="031A8ECA33104064A4C8AFF997100B53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3638FC0F78564ED49A69C304AE9AB4D96">
    <w:name w:val="3638FC0F78564ED49A69C304AE9AB4D9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0DB3798A11A047F8912D3A12421C0F646">
    <w:name w:val="0DB3798A11A047F8912D3A12421C0F64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948ED58EF2A24568B3AE39C7EECE39F36">
    <w:name w:val="948ED58EF2A24568B3AE39C7EECE39F3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A991C79E3A1744269140C088DE114A096">
    <w:name w:val="A991C79E3A1744269140C088DE114A09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361E3E4BC08F433697E76F61121E56E36">
    <w:name w:val="361E3E4BC08F433697E76F61121E56E3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5F7A35DCB58F4C7B8302E69ABC4859006">
    <w:name w:val="5F7A35DCB58F4C7B8302E69ABC485900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48DEB1F9289B433CB0F6452D7E8E064F6">
    <w:name w:val="48DEB1F9289B433CB0F6452D7E8E064F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BFC228E49542478C985A2C3611A646C36">
    <w:name w:val="BFC228E49542478C985A2C3611A646C3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9DB3F3D0D58B4DEAA83E57759FF0D70C6">
    <w:name w:val="9DB3F3D0D58B4DEAA83E57759FF0D70C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7DA2DF8731294BDC8CFDFA00DAD964016">
    <w:name w:val="7DA2DF8731294BDC8CFDFA00DAD96401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B8EE2281FD9042E9BE2B0CEAF00FEB776">
    <w:name w:val="B8EE2281FD9042E9BE2B0CEAF00FEB776"/>
    <w:rsid w:val="002A0EA2"/>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9DF38205C6B848798330C9DB09BC47D7">
    <w:name w:val="9DF38205C6B848798330C9DB09BC47D7"/>
    <w:rsid w:val="00137AB6"/>
    <w:pPr>
      <w:spacing w:line="278" w:lineRule="auto"/>
    </w:pPr>
    <w:rPr>
      <w:kern w:val="2"/>
      <w:sz w:val="24"/>
      <w:szCs w:val="24"/>
      <w:lang w:val="it-IT" w:eastAsia="it-IT"/>
      <w14:ligatures w14:val="standardContextual"/>
    </w:rPr>
  </w:style>
  <w:style w:type="paragraph" w:customStyle="1" w:styleId="28E2F48476474141B156A65B0901B84F">
    <w:name w:val="28E2F48476474141B156A65B0901B84F"/>
    <w:rsid w:val="00137AB6"/>
    <w:pPr>
      <w:spacing w:line="278" w:lineRule="auto"/>
    </w:pPr>
    <w:rPr>
      <w:kern w:val="2"/>
      <w:sz w:val="24"/>
      <w:szCs w:val="24"/>
      <w:lang w:val="it-IT" w:eastAsia="it-IT"/>
      <w14:ligatures w14:val="standardContextual"/>
    </w:rPr>
  </w:style>
  <w:style w:type="paragraph" w:customStyle="1" w:styleId="402DA019EEDC4834B9119734129DC5DA">
    <w:name w:val="402DA019EEDC4834B9119734129DC5DA"/>
    <w:rsid w:val="00137AB6"/>
    <w:pPr>
      <w:spacing w:line="278" w:lineRule="auto"/>
    </w:pPr>
    <w:rPr>
      <w:kern w:val="2"/>
      <w:sz w:val="24"/>
      <w:szCs w:val="24"/>
      <w:lang w:val="it-IT" w:eastAsia="it-IT"/>
      <w14:ligatures w14:val="standardContextual"/>
    </w:rPr>
  </w:style>
  <w:style w:type="paragraph" w:customStyle="1" w:styleId="E91D4554A48E417C9910CEE7C778B408">
    <w:name w:val="E91D4554A48E417C9910CEE7C778B408"/>
    <w:rsid w:val="00137AB6"/>
    <w:pPr>
      <w:spacing w:line="278" w:lineRule="auto"/>
    </w:pPr>
    <w:rPr>
      <w:kern w:val="2"/>
      <w:sz w:val="24"/>
      <w:szCs w:val="24"/>
      <w:lang w:val="it-IT" w:eastAsia="it-IT"/>
      <w14:ligatures w14:val="standardContextual"/>
    </w:rPr>
  </w:style>
  <w:style w:type="paragraph" w:customStyle="1" w:styleId="98FC5B15FEF14A8AA56BCBDA054A652C">
    <w:name w:val="98FC5B15FEF14A8AA56BCBDA054A652C"/>
    <w:rsid w:val="00137AB6"/>
    <w:pPr>
      <w:spacing w:line="278" w:lineRule="auto"/>
    </w:pPr>
    <w:rPr>
      <w:kern w:val="2"/>
      <w:sz w:val="24"/>
      <w:szCs w:val="24"/>
      <w:lang w:val="it-IT" w:eastAsia="it-IT"/>
      <w14:ligatures w14:val="standardContextual"/>
    </w:rPr>
  </w:style>
  <w:style w:type="paragraph" w:customStyle="1" w:styleId="A17141ED14514FF4B97DABFD0C974B18">
    <w:name w:val="A17141ED14514FF4B97DABFD0C974B18"/>
    <w:rsid w:val="00137AB6"/>
    <w:pPr>
      <w:spacing w:line="278" w:lineRule="auto"/>
    </w:pPr>
    <w:rPr>
      <w:kern w:val="2"/>
      <w:sz w:val="24"/>
      <w:szCs w:val="24"/>
      <w:lang w:val="it-IT" w:eastAsia="it-IT"/>
      <w14:ligatures w14:val="standardContextual"/>
    </w:rPr>
  </w:style>
  <w:style w:type="paragraph" w:customStyle="1" w:styleId="ECEE187784B04486A94C91688F3F02FA">
    <w:name w:val="ECEE187784B04486A94C91688F3F02FA"/>
    <w:rsid w:val="00137AB6"/>
    <w:pPr>
      <w:spacing w:line="278" w:lineRule="auto"/>
    </w:pPr>
    <w:rPr>
      <w:kern w:val="2"/>
      <w:sz w:val="24"/>
      <w:szCs w:val="24"/>
      <w:lang w:val="it-IT" w:eastAsia="it-IT"/>
      <w14:ligatures w14:val="standardContextual"/>
    </w:rPr>
  </w:style>
  <w:style w:type="paragraph" w:customStyle="1" w:styleId="793A61C3C215442F931888B0CE3A8ED9">
    <w:name w:val="793A61C3C215442F931888B0CE3A8ED9"/>
    <w:rsid w:val="00137AB6"/>
    <w:pPr>
      <w:spacing w:line="278" w:lineRule="auto"/>
    </w:pPr>
    <w:rPr>
      <w:kern w:val="2"/>
      <w:sz w:val="24"/>
      <w:szCs w:val="24"/>
      <w:lang w:val="it-IT" w:eastAsia="it-IT"/>
      <w14:ligatures w14:val="standardContextual"/>
    </w:rPr>
  </w:style>
  <w:style w:type="paragraph" w:customStyle="1" w:styleId="59005B91BFCE4B4FA744E4433D7B636B">
    <w:name w:val="59005B91BFCE4B4FA744E4433D7B636B"/>
    <w:rsid w:val="00137AB6"/>
    <w:pPr>
      <w:spacing w:line="278" w:lineRule="auto"/>
    </w:pPr>
    <w:rPr>
      <w:kern w:val="2"/>
      <w:sz w:val="24"/>
      <w:szCs w:val="24"/>
      <w:lang w:val="it-IT" w:eastAsia="it-IT"/>
      <w14:ligatures w14:val="standardContextual"/>
    </w:rPr>
  </w:style>
  <w:style w:type="paragraph" w:customStyle="1" w:styleId="46C6A7FD28304C3E9700DEBCD881664A">
    <w:name w:val="46C6A7FD28304C3E9700DEBCD881664A"/>
    <w:rsid w:val="00137AB6"/>
    <w:pPr>
      <w:spacing w:line="278" w:lineRule="auto"/>
    </w:pPr>
    <w:rPr>
      <w:kern w:val="2"/>
      <w:sz w:val="24"/>
      <w:szCs w:val="24"/>
      <w:lang w:val="it-IT" w:eastAsia="it-IT"/>
      <w14:ligatures w14:val="standardContextual"/>
    </w:rPr>
  </w:style>
  <w:style w:type="paragraph" w:customStyle="1" w:styleId="E79B1401623F426BA6E809378BBE49DE">
    <w:name w:val="E79B1401623F426BA6E809378BBE49DE"/>
    <w:rsid w:val="00137AB6"/>
    <w:pPr>
      <w:spacing w:line="278" w:lineRule="auto"/>
    </w:pPr>
    <w:rPr>
      <w:kern w:val="2"/>
      <w:sz w:val="24"/>
      <w:szCs w:val="24"/>
      <w:lang w:val="it-IT" w:eastAsia="it-IT"/>
      <w14:ligatures w14:val="standardContextual"/>
    </w:rPr>
  </w:style>
  <w:style w:type="paragraph" w:customStyle="1" w:styleId="56608AC9DF7E41C48A53D82F0B59F2F5">
    <w:name w:val="56608AC9DF7E41C48A53D82F0B59F2F5"/>
    <w:rsid w:val="00137AB6"/>
    <w:pPr>
      <w:spacing w:line="278" w:lineRule="auto"/>
    </w:pPr>
    <w:rPr>
      <w:kern w:val="2"/>
      <w:sz w:val="24"/>
      <w:szCs w:val="24"/>
      <w:lang w:val="it-IT" w:eastAsia="it-IT"/>
      <w14:ligatures w14:val="standardContextual"/>
    </w:rPr>
  </w:style>
  <w:style w:type="paragraph" w:customStyle="1" w:styleId="7DD5CD39C0C945EE89A1A515EF8E9CAE">
    <w:name w:val="7DD5CD39C0C945EE89A1A515EF8E9CAE"/>
    <w:rsid w:val="00137AB6"/>
    <w:pPr>
      <w:spacing w:line="278" w:lineRule="auto"/>
    </w:pPr>
    <w:rPr>
      <w:kern w:val="2"/>
      <w:sz w:val="24"/>
      <w:szCs w:val="24"/>
      <w:lang w:val="it-IT" w:eastAsia="it-IT"/>
      <w14:ligatures w14:val="standardContextual"/>
    </w:rPr>
  </w:style>
  <w:style w:type="paragraph" w:customStyle="1" w:styleId="4240DEC1227A4159B030532203B7C8FC">
    <w:name w:val="4240DEC1227A4159B030532203B7C8FC"/>
    <w:rsid w:val="00137AB6"/>
    <w:pPr>
      <w:spacing w:line="278" w:lineRule="auto"/>
    </w:pPr>
    <w:rPr>
      <w:kern w:val="2"/>
      <w:sz w:val="24"/>
      <w:szCs w:val="24"/>
      <w:lang w:val="it-IT" w:eastAsia="it-IT"/>
      <w14:ligatures w14:val="standardContextual"/>
    </w:rPr>
  </w:style>
  <w:style w:type="paragraph" w:customStyle="1" w:styleId="1BD86B768B1E43E29E1F41A5951EE6DD">
    <w:name w:val="1BD86B768B1E43E29E1F41A5951EE6DD"/>
    <w:rsid w:val="00137AB6"/>
    <w:pPr>
      <w:spacing w:line="278" w:lineRule="auto"/>
    </w:pPr>
    <w:rPr>
      <w:kern w:val="2"/>
      <w:sz w:val="24"/>
      <w:szCs w:val="24"/>
      <w:lang w:val="it-IT" w:eastAsia="it-IT"/>
      <w14:ligatures w14:val="standardContextual"/>
    </w:rPr>
  </w:style>
  <w:style w:type="paragraph" w:customStyle="1" w:styleId="33076C937ADD4A38AF0B5C40B8BCB5F4">
    <w:name w:val="33076C937ADD4A38AF0B5C40B8BCB5F4"/>
    <w:rsid w:val="00137AB6"/>
    <w:pPr>
      <w:spacing w:line="278" w:lineRule="auto"/>
    </w:pPr>
    <w:rPr>
      <w:kern w:val="2"/>
      <w:sz w:val="24"/>
      <w:szCs w:val="24"/>
      <w:lang w:val="it-IT" w:eastAsia="it-IT"/>
      <w14:ligatures w14:val="standardContextual"/>
    </w:rPr>
  </w:style>
  <w:style w:type="paragraph" w:customStyle="1" w:styleId="B6DF2305B338496A989A7EE4A83BECD6">
    <w:name w:val="B6DF2305B338496A989A7EE4A83BECD6"/>
    <w:rsid w:val="00137AB6"/>
    <w:pPr>
      <w:spacing w:line="278" w:lineRule="auto"/>
    </w:pPr>
    <w:rPr>
      <w:kern w:val="2"/>
      <w:sz w:val="24"/>
      <w:szCs w:val="24"/>
      <w:lang w:val="it-IT" w:eastAsia="it-IT"/>
      <w14:ligatures w14:val="standardContextual"/>
    </w:rPr>
  </w:style>
  <w:style w:type="paragraph" w:customStyle="1" w:styleId="CD2EBD14D6354A61A174DF8E5D0310B8">
    <w:name w:val="CD2EBD14D6354A61A174DF8E5D0310B8"/>
    <w:rsid w:val="00137AB6"/>
    <w:pPr>
      <w:spacing w:line="278" w:lineRule="auto"/>
    </w:pPr>
    <w:rPr>
      <w:kern w:val="2"/>
      <w:sz w:val="24"/>
      <w:szCs w:val="24"/>
      <w:lang w:val="it-IT" w:eastAsia="it-IT"/>
      <w14:ligatures w14:val="standardContextual"/>
    </w:rPr>
  </w:style>
  <w:style w:type="paragraph" w:customStyle="1" w:styleId="1CC6093CE97D47A2ADD3992B6897C040">
    <w:name w:val="1CC6093CE97D47A2ADD3992B6897C040"/>
    <w:rsid w:val="00137AB6"/>
    <w:pPr>
      <w:spacing w:line="278" w:lineRule="auto"/>
    </w:pPr>
    <w:rPr>
      <w:kern w:val="2"/>
      <w:sz w:val="24"/>
      <w:szCs w:val="24"/>
      <w:lang w:val="it-IT" w:eastAsia="it-IT"/>
      <w14:ligatures w14:val="standardContextual"/>
    </w:rPr>
  </w:style>
  <w:style w:type="paragraph" w:customStyle="1" w:styleId="03D72CE279224D6E9A5F7237D0FF4FB1">
    <w:name w:val="03D72CE279224D6E9A5F7237D0FF4FB1"/>
    <w:rsid w:val="00137AB6"/>
    <w:pPr>
      <w:spacing w:line="278" w:lineRule="auto"/>
    </w:pPr>
    <w:rPr>
      <w:kern w:val="2"/>
      <w:sz w:val="24"/>
      <w:szCs w:val="24"/>
      <w:lang w:val="it-IT" w:eastAsia="it-IT"/>
      <w14:ligatures w14:val="standardContextual"/>
    </w:rPr>
  </w:style>
  <w:style w:type="paragraph" w:customStyle="1" w:styleId="3CFF5F54B3444526A68C94632AC80120">
    <w:name w:val="3CFF5F54B3444526A68C94632AC80120"/>
    <w:rsid w:val="00137AB6"/>
    <w:pPr>
      <w:spacing w:line="278" w:lineRule="auto"/>
    </w:pPr>
    <w:rPr>
      <w:kern w:val="2"/>
      <w:sz w:val="24"/>
      <w:szCs w:val="24"/>
      <w:lang w:val="it-IT" w:eastAsia="it-IT"/>
      <w14:ligatures w14:val="standardContextual"/>
    </w:rPr>
  </w:style>
  <w:style w:type="paragraph" w:customStyle="1" w:styleId="1B4BAA6B1E87433FA1E3C89493E49A1D">
    <w:name w:val="1B4BAA6B1E87433FA1E3C89493E49A1D"/>
    <w:rsid w:val="00137AB6"/>
    <w:pPr>
      <w:spacing w:line="278" w:lineRule="auto"/>
    </w:pPr>
    <w:rPr>
      <w:kern w:val="2"/>
      <w:sz w:val="24"/>
      <w:szCs w:val="24"/>
      <w:lang w:val="it-IT" w:eastAsia="it-IT"/>
      <w14:ligatures w14:val="standardContextual"/>
    </w:rPr>
  </w:style>
  <w:style w:type="paragraph" w:customStyle="1" w:styleId="6CB62BFEB5284DD89FDAF672327FCD25">
    <w:name w:val="6CB62BFEB5284DD89FDAF672327FCD25"/>
    <w:rsid w:val="00137AB6"/>
    <w:pPr>
      <w:spacing w:line="278" w:lineRule="auto"/>
    </w:pPr>
    <w:rPr>
      <w:kern w:val="2"/>
      <w:sz w:val="24"/>
      <w:szCs w:val="24"/>
      <w:lang w:val="it-IT" w:eastAsia="it-IT"/>
      <w14:ligatures w14:val="standardContextual"/>
    </w:rPr>
  </w:style>
  <w:style w:type="paragraph" w:customStyle="1" w:styleId="DD8C3E68D4C14C80989750570593C814">
    <w:name w:val="DD8C3E68D4C14C80989750570593C814"/>
    <w:rsid w:val="00137AB6"/>
    <w:pPr>
      <w:spacing w:line="278" w:lineRule="auto"/>
    </w:pPr>
    <w:rPr>
      <w:kern w:val="2"/>
      <w:sz w:val="24"/>
      <w:szCs w:val="24"/>
      <w:lang w:val="it-IT" w:eastAsia="it-IT"/>
      <w14:ligatures w14:val="standardContextual"/>
    </w:rPr>
  </w:style>
  <w:style w:type="paragraph" w:customStyle="1" w:styleId="F28C7873B7CD4696B910E2323C9EA9B5">
    <w:name w:val="F28C7873B7CD4696B910E2323C9EA9B5"/>
    <w:rsid w:val="00137AB6"/>
    <w:pPr>
      <w:spacing w:line="278" w:lineRule="auto"/>
    </w:pPr>
    <w:rPr>
      <w:kern w:val="2"/>
      <w:sz w:val="24"/>
      <w:szCs w:val="24"/>
      <w:lang w:val="it-IT" w:eastAsia="it-IT"/>
      <w14:ligatures w14:val="standardContextual"/>
    </w:rPr>
  </w:style>
  <w:style w:type="paragraph" w:customStyle="1" w:styleId="58DAC1D088A049F5AE0105DB059A085D">
    <w:name w:val="58DAC1D088A049F5AE0105DB059A085D"/>
    <w:rsid w:val="00137AB6"/>
    <w:pPr>
      <w:spacing w:line="278" w:lineRule="auto"/>
    </w:pPr>
    <w:rPr>
      <w:kern w:val="2"/>
      <w:sz w:val="24"/>
      <w:szCs w:val="24"/>
      <w:lang w:val="it-IT" w:eastAsia="it-IT"/>
      <w14:ligatures w14:val="standardContextual"/>
    </w:rPr>
  </w:style>
  <w:style w:type="paragraph" w:customStyle="1" w:styleId="B036422394CE4C12A33E16E03D8528F2">
    <w:name w:val="B036422394CE4C12A33E16E03D8528F2"/>
    <w:rsid w:val="00290795"/>
    <w:pPr>
      <w:spacing w:line="278" w:lineRule="auto"/>
    </w:pPr>
    <w:rPr>
      <w:kern w:val="2"/>
      <w:sz w:val="24"/>
      <w:szCs w:val="24"/>
      <w:lang w:val="it-IT" w:eastAsia="it-IT"/>
      <w14:ligatures w14:val="standardContextual"/>
    </w:rPr>
  </w:style>
  <w:style w:type="paragraph" w:customStyle="1" w:styleId="E5826831278B46C58B98E30D4D1CEFD5">
    <w:name w:val="E5826831278B46C58B98E30D4D1CEFD5"/>
    <w:rsid w:val="00290795"/>
    <w:pPr>
      <w:spacing w:line="278" w:lineRule="auto"/>
    </w:pPr>
    <w:rPr>
      <w:kern w:val="2"/>
      <w:sz w:val="24"/>
      <w:szCs w:val="24"/>
      <w:lang w:val="it-IT" w:eastAsia="it-IT"/>
      <w14:ligatures w14:val="standardContextual"/>
    </w:rPr>
  </w:style>
  <w:style w:type="paragraph" w:customStyle="1" w:styleId="8FCA0456AACB47908839BC4E91062149">
    <w:name w:val="8FCA0456AACB47908839BC4E91062149"/>
    <w:rsid w:val="00290795"/>
    <w:pPr>
      <w:spacing w:line="278" w:lineRule="auto"/>
    </w:pPr>
    <w:rPr>
      <w:kern w:val="2"/>
      <w:sz w:val="24"/>
      <w:szCs w:val="24"/>
      <w:lang w:val="it-IT" w:eastAsia="it-IT"/>
      <w14:ligatures w14:val="standardContextual"/>
    </w:rPr>
  </w:style>
  <w:style w:type="paragraph" w:customStyle="1" w:styleId="DAE0A399AEDC44CC9EB6637DDB56B8A1">
    <w:name w:val="DAE0A399AEDC44CC9EB6637DDB56B8A1"/>
    <w:rsid w:val="00290795"/>
    <w:pPr>
      <w:spacing w:line="278" w:lineRule="auto"/>
    </w:pPr>
    <w:rPr>
      <w:kern w:val="2"/>
      <w:sz w:val="24"/>
      <w:szCs w:val="24"/>
      <w:lang w:val="it-IT" w:eastAsia="it-IT"/>
      <w14:ligatures w14:val="standardContextual"/>
    </w:rPr>
  </w:style>
  <w:style w:type="paragraph" w:customStyle="1" w:styleId="27467D67A75E48C4ADBB383DE466CC83">
    <w:name w:val="27467D67A75E48C4ADBB383DE466CC83"/>
    <w:rsid w:val="00290795"/>
    <w:pPr>
      <w:spacing w:line="278" w:lineRule="auto"/>
    </w:pPr>
    <w:rPr>
      <w:kern w:val="2"/>
      <w:sz w:val="24"/>
      <w:szCs w:val="24"/>
      <w:lang w:val="it-IT" w:eastAsia="it-IT"/>
      <w14:ligatures w14:val="standardContextual"/>
    </w:rPr>
  </w:style>
  <w:style w:type="paragraph" w:customStyle="1" w:styleId="F34CFADFAFE746D48EDA84F67FF04614">
    <w:name w:val="F34CFADFAFE746D48EDA84F67FF04614"/>
    <w:rsid w:val="00290795"/>
    <w:pPr>
      <w:spacing w:line="278" w:lineRule="auto"/>
    </w:pPr>
    <w:rPr>
      <w:kern w:val="2"/>
      <w:sz w:val="24"/>
      <w:szCs w:val="24"/>
      <w:lang w:val="it-IT" w:eastAsia="it-IT"/>
      <w14:ligatures w14:val="standardContextual"/>
    </w:rPr>
  </w:style>
  <w:style w:type="paragraph" w:customStyle="1" w:styleId="57E315179E34413B87768E712719960E">
    <w:name w:val="57E315179E34413B87768E712719960E"/>
    <w:rsid w:val="00290795"/>
    <w:pPr>
      <w:spacing w:line="278" w:lineRule="auto"/>
    </w:pPr>
    <w:rPr>
      <w:kern w:val="2"/>
      <w:sz w:val="24"/>
      <w:szCs w:val="24"/>
      <w:lang w:val="it-IT" w:eastAsia="it-IT"/>
      <w14:ligatures w14:val="standardContextual"/>
    </w:rPr>
  </w:style>
  <w:style w:type="paragraph" w:customStyle="1" w:styleId="DE72A0BE8DE44C778DABC3A3AACF7A43">
    <w:name w:val="DE72A0BE8DE44C778DABC3A3AACF7A43"/>
    <w:rsid w:val="00C85556"/>
    <w:pPr>
      <w:spacing w:line="278" w:lineRule="auto"/>
    </w:pPr>
    <w:rPr>
      <w:kern w:val="2"/>
      <w:sz w:val="24"/>
      <w:szCs w:val="24"/>
      <w:lang w:val="it-IT" w:eastAsia="it-IT"/>
      <w14:ligatures w14:val="standardContextual"/>
    </w:rPr>
  </w:style>
  <w:style w:type="paragraph" w:customStyle="1" w:styleId="85B2CA061240473D861D7DBF78A4CA74">
    <w:name w:val="85B2CA061240473D861D7DBF78A4CA74"/>
    <w:rsid w:val="00C85556"/>
    <w:pPr>
      <w:spacing w:line="278" w:lineRule="auto"/>
    </w:pPr>
    <w:rPr>
      <w:kern w:val="2"/>
      <w:sz w:val="24"/>
      <w:szCs w:val="24"/>
      <w:lang w:val="it-IT" w:eastAsia="it-IT"/>
      <w14:ligatures w14:val="standardContextual"/>
    </w:rPr>
  </w:style>
  <w:style w:type="paragraph" w:customStyle="1" w:styleId="E8A2C98C18CE431C94FDA3705F08DE0F">
    <w:name w:val="E8A2C98C18CE431C94FDA3705F08DE0F"/>
    <w:rsid w:val="00C85556"/>
    <w:pPr>
      <w:spacing w:line="278" w:lineRule="auto"/>
    </w:pPr>
    <w:rPr>
      <w:kern w:val="2"/>
      <w:sz w:val="24"/>
      <w:szCs w:val="24"/>
      <w:lang w:val="it-IT" w:eastAsia="it-IT"/>
      <w14:ligatures w14:val="standardContextual"/>
    </w:rPr>
  </w:style>
  <w:style w:type="paragraph" w:customStyle="1" w:styleId="1A91FACEE0DF487E8401C9C23D7394C4">
    <w:name w:val="1A91FACEE0DF487E8401C9C23D7394C4"/>
    <w:rsid w:val="00E224E6"/>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A655D-ED40-46F1-94CF-B21461846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8</Pages>
  <Words>33524</Words>
  <Characters>191092</Characters>
  <Application>Microsoft Office Word</Application>
  <DocSecurity>0</DocSecurity>
  <Lines>1592</Lines>
  <Paragraphs>448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α-N-Heterocyclic Thiosemicarbazone Derivatives as Potential Antitumor Agents: A Structure-Activity Relationships Approach</vt:lpstr>
      <vt:lpstr>α-N-Heterocyclic Thiosemicarbazone Derivatives as Potential Antitumor Agents: A Structure-Activity Relationships Approach</vt:lpstr>
    </vt:vector>
  </TitlesOfParts>
  <Company>I T S</Company>
  <LinksUpToDate>false</LinksUpToDate>
  <CharactersWithSpaces>224168</CharactersWithSpaces>
  <SharedDoc>false</SharedDoc>
  <HLinks>
    <vt:vector size="42" baseType="variant">
      <vt:variant>
        <vt:i4>7209004</vt:i4>
      </vt:variant>
      <vt:variant>
        <vt:i4>18</vt:i4>
      </vt:variant>
      <vt:variant>
        <vt:i4>0</vt:i4>
      </vt:variant>
      <vt:variant>
        <vt:i4>5</vt:i4>
      </vt:variant>
      <vt:variant>
        <vt:lpwstr>https://cites.org/</vt:lpwstr>
      </vt:variant>
      <vt:variant>
        <vt:lpwstr/>
      </vt:variant>
      <vt:variant>
        <vt:i4>7536729</vt:i4>
      </vt:variant>
      <vt:variant>
        <vt:i4>15</vt:i4>
      </vt:variant>
      <vt:variant>
        <vt:i4>0</vt:i4>
      </vt:variant>
      <vt:variant>
        <vt:i4>5</vt:i4>
      </vt:variant>
      <vt:variant>
        <vt:lpwstr>https://portals.iucn.org/library/efiles/documents/PP-003-En.pdf</vt:lpwstr>
      </vt:variant>
      <vt:variant>
        <vt:lpwstr/>
      </vt:variant>
      <vt:variant>
        <vt:i4>6815781</vt:i4>
      </vt:variant>
      <vt:variant>
        <vt:i4>12</vt:i4>
      </vt:variant>
      <vt:variant>
        <vt:i4>0</vt:i4>
      </vt:variant>
      <vt:variant>
        <vt:i4>5</vt:i4>
      </vt:variant>
      <vt:variant>
        <vt:lpwstr>https://www.nc3rs.org.uk/arrive-guidelines</vt:lpwstr>
      </vt:variant>
      <vt:variant>
        <vt:lpwstr/>
      </vt:variant>
      <vt:variant>
        <vt:i4>2031631</vt:i4>
      </vt:variant>
      <vt:variant>
        <vt:i4>9</vt:i4>
      </vt:variant>
      <vt:variant>
        <vt:i4>0</vt:i4>
      </vt:variant>
      <vt:variant>
        <vt:i4>5</vt:i4>
      </vt:variant>
      <vt:variant>
        <vt:lpwstr>http://grants.nih.gov/grants/olaw/guide-for-the-care-and-use-of-laboratory-animals_prepub.pdf</vt:lpwstr>
      </vt:variant>
      <vt:variant>
        <vt:lpwstr/>
      </vt:variant>
      <vt:variant>
        <vt:i4>3407940</vt:i4>
      </vt:variant>
      <vt:variant>
        <vt:i4>6</vt:i4>
      </vt:variant>
      <vt:variant>
        <vt:i4>0</vt:i4>
      </vt:variant>
      <vt:variant>
        <vt:i4>5</vt:i4>
      </vt:variant>
      <vt:variant>
        <vt:lpwstr>https://www.wma.net/policies-post/wma-declaration-of-helsinki-ethical-principles-for-medical-research-involving-human-subjects/</vt:lpwstr>
      </vt:variant>
      <vt:variant>
        <vt:lpwstr/>
      </vt:variant>
      <vt:variant>
        <vt:i4>1310790</vt:i4>
      </vt:variant>
      <vt:variant>
        <vt:i4>0</vt:i4>
      </vt:variant>
      <vt:variant>
        <vt:i4>0</vt:i4>
      </vt:variant>
      <vt:variant>
        <vt:i4>5</vt:i4>
      </vt:variant>
      <vt:variant>
        <vt:lpwstr>mailto:author@institute.xxx</vt:lpwstr>
      </vt:variant>
      <vt:variant>
        <vt:lpwstr/>
      </vt:variant>
      <vt:variant>
        <vt:i4>6684741</vt:i4>
      </vt:variant>
      <vt:variant>
        <vt:i4>6073</vt:i4>
      </vt:variant>
      <vt:variant>
        <vt:i4>1025</vt:i4>
      </vt:variant>
      <vt:variant>
        <vt:i4>1</vt:i4>
      </vt:variant>
      <vt:variant>
        <vt:lpwstr>index_02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α-N-Heterocyclic Thiosemicarbazone Derivatives as Potential Antitumor Agents: A Structure-Activity Relationships Approach</dc:title>
  <dc:subject/>
  <dc:creator>Muhammad Tariq</dc:creator>
  <cp:keywords/>
  <cp:lastModifiedBy>luca maddaloni</cp:lastModifiedBy>
  <cp:revision>40</cp:revision>
  <cp:lastPrinted>2018-09-17T11:47:00Z</cp:lastPrinted>
  <dcterms:created xsi:type="dcterms:W3CDTF">2021-12-07T06:02:00Z</dcterms:created>
  <dcterms:modified xsi:type="dcterms:W3CDTF">2026-05-15T10:48:00Z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cf6750ea-92b9-3c71-a82e-f005508c2eca</vt:lpwstr>
  </property>
  <property fmtid="{D5CDD505-2E9C-101B-9397-08002B2CF9AE}" pid="4" name="Mendeley Citation Style_1">
    <vt:lpwstr>http://www.zotero.org/styles/elsevier-vancouver</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12th edition - Harvard</vt:lpwstr>
  </property>
  <property fmtid="{D5CDD505-2E9C-101B-9397-08002B2CF9AE}" pid="9" name="Mendeley Recent Style Id 2_1">
    <vt:lpwstr>http://www.zotero.org/styles/elsevier-vancouver</vt:lpwstr>
  </property>
  <property fmtid="{D5CDD505-2E9C-101B-9397-08002B2CF9AE}" pid="10" name="Mendeley Recent Style Name 2_1">
    <vt:lpwstr>Elsevier - Vancouver</vt:lpwstr>
  </property>
  <property fmtid="{D5CDD505-2E9C-101B-9397-08002B2CF9AE}" pid="11" name="Mendeley Recent Style Id 3_1">
    <vt:lpwstr>http://www.zotero.org/styles/frontiers</vt:lpwstr>
  </property>
  <property fmtid="{D5CDD505-2E9C-101B-9397-08002B2CF9AE}" pid="12" name="Mendeley Recent Style Name 3_1">
    <vt:lpwstr>Frontiers journals</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http://www.zotero.org/styles/journal-of-infectious-diseases</vt:lpwstr>
  </property>
  <property fmtid="{D5CDD505-2E9C-101B-9397-08002B2CF9AE}" pid="16" name="Mendeley Recent Style Name 5_1">
    <vt:lpwstr>Journal of Infectious Diseases</vt:lpwstr>
  </property>
  <property fmtid="{D5CDD505-2E9C-101B-9397-08002B2CF9AE}" pid="17" name="Mendeley Recent Style Id 6_1">
    <vt:lpwstr>http://www.zotero.org/styles/microorganisms</vt:lpwstr>
  </property>
  <property fmtid="{D5CDD505-2E9C-101B-9397-08002B2CF9AE}" pid="18" name="Mendeley Recent Style Name 6_1">
    <vt:lpwstr>Microorganisms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